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ubtitle"/>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ListParagraph"/>
        <w:numPr>
          <w:ilvl w:val="0"/>
          <w:numId w:val="35"/>
        </w:numPr>
        <w:contextualSpacing w:val="0"/>
      </w:pPr>
      <w:r w:rsidRPr="005B6B12">
        <w:t>respond to the question stated;</w:t>
      </w:r>
    </w:p>
    <w:p w14:paraId="73161343" w14:textId="77777777" w:rsidR="00E70E2E" w:rsidRPr="005B6B12" w:rsidRDefault="00E70E2E" w:rsidP="00EE57EB">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ListParagraph"/>
        <w:numPr>
          <w:ilvl w:val="0"/>
          <w:numId w:val="35"/>
        </w:numPr>
        <w:contextualSpacing w:val="0"/>
      </w:pPr>
      <w:r w:rsidRPr="005B6B12">
        <w:t>contain a clear rationale; and</w:t>
      </w:r>
    </w:p>
    <w:p w14:paraId="30D73002" w14:textId="77777777" w:rsidR="00E70E2E" w:rsidRPr="005B6B12" w:rsidRDefault="00E70E2E" w:rsidP="00EE57EB">
      <w:pPr>
        <w:pStyle w:val="ListParagraph"/>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ListParagraph"/>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ListParagraph"/>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vAlign w:val="center"/>
              </w:tcPr>
              <w:p w14:paraId="633DB1B6" w14:textId="1DCE22EB" w:rsidR="00C2682A" w:rsidRPr="00104E00" w:rsidRDefault="00706663" w:rsidP="00104E00">
                <w:pPr>
                  <w:jc w:val="left"/>
                  <w:rPr>
                    <w:rStyle w:val="PlaceholderText"/>
                  </w:rPr>
                </w:pPr>
                <w:r>
                  <w:rPr>
                    <w:rStyle w:val="PlaceholderText"/>
                  </w:rPr>
                  <w:t>Invest Europe</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7BDFAB59" w:rsidR="00C2682A" w:rsidRPr="00104E00" w:rsidRDefault="00EF5A37"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06663">
                  <w:t>Investment Services</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vAlign w:val="center"/>
              </w:tcPr>
              <w:p w14:paraId="4BD68813" w14:textId="6BCFD545" w:rsidR="00C2682A" w:rsidRPr="00104E00" w:rsidRDefault="00706663"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51FFF31F" w:rsidR="00C2682A" w:rsidRPr="00104E00" w:rsidRDefault="00706663" w:rsidP="00104E00">
                <w:pPr>
                  <w:jc w:val="left"/>
                </w:pPr>
                <w:r>
                  <w:t>Europe</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Heading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376FCE97" w14:textId="77777777" w:rsidR="00706663" w:rsidRDefault="00706663" w:rsidP="00706663">
      <w:pPr>
        <w:rPr>
          <w:rFonts w:ascii="Trebuchet MS" w:hAnsi="Trebuchet MS"/>
          <w:szCs w:val="22"/>
        </w:rPr>
      </w:pPr>
      <w:permStart w:id="2146780344" w:edGrp="everyone"/>
      <w:r w:rsidRPr="00D97C0B">
        <w:rPr>
          <w:rFonts w:ascii="Trebuchet MS" w:hAnsi="Trebuchet MS"/>
          <w:szCs w:val="22"/>
        </w:rPr>
        <w:t>Yes</w:t>
      </w:r>
      <w:r>
        <w:rPr>
          <w:rFonts w:ascii="Trebuchet MS" w:hAnsi="Trebuchet MS"/>
          <w:szCs w:val="22"/>
        </w:rPr>
        <w:t>.</w:t>
      </w:r>
    </w:p>
    <w:p w14:paraId="57555471" w14:textId="77777777" w:rsidR="00706663" w:rsidRPr="00D97C0B" w:rsidRDefault="00706663" w:rsidP="00706663">
      <w:pPr>
        <w:rPr>
          <w:rFonts w:ascii="Trebuchet MS" w:hAnsi="Trebuchet MS"/>
          <w:szCs w:val="22"/>
        </w:rPr>
      </w:pPr>
      <w:r>
        <w:rPr>
          <w:rFonts w:ascii="Trebuchet MS" w:hAnsi="Trebuchet MS"/>
          <w:szCs w:val="22"/>
        </w:rPr>
        <w:t>W</w:t>
      </w:r>
      <w:r w:rsidRPr="00D97C0B">
        <w:rPr>
          <w:rFonts w:ascii="Trebuchet MS" w:hAnsi="Trebuchet MS"/>
          <w:szCs w:val="22"/>
        </w:rPr>
        <w:t xml:space="preserve">e confirm that private equity managers we represent are subject to EU-level reporting, additional national reporting as well as </w:t>
      </w:r>
      <w:r>
        <w:rPr>
          <w:rFonts w:ascii="Trebuchet MS" w:hAnsi="Trebuchet MS"/>
          <w:szCs w:val="22"/>
        </w:rPr>
        <w:t xml:space="preserve">in some cases </w:t>
      </w:r>
      <w:r w:rsidRPr="00D97C0B">
        <w:rPr>
          <w:rFonts w:ascii="Trebuchet MS" w:hAnsi="Trebuchet MS"/>
          <w:szCs w:val="22"/>
        </w:rPr>
        <w:t xml:space="preserve">other reporting frameworks, depending on the manager’s activities and size. </w:t>
      </w:r>
    </w:p>
    <w:p w14:paraId="7F9547DE" w14:textId="77777777" w:rsidR="00706663" w:rsidRPr="00D97C0B" w:rsidRDefault="00706663" w:rsidP="00706663">
      <w:pPr>
        <w:rPr>
          <w:rFonts w:ascii="Trebuchet MS" w:hAnsi="Trebuchet MS"/>
          <w:szCs w:val="22"/>
        </w:rPr>
      </w:pPr>
      <w:r w:rsidRPr="00D97C0B">
        <w:rPr>
          <w:rFonts w:ascii="Trebuchet MS" w:hAnsi="Trebuchet MS"/>
          <w:szCs w:val="22"/>
        </w:rPr>
        <w:t xml:space="preserve">We note that regulatory reporting: </w:t>
      </w:r>
    </w:p>
    <w:p w14:paraId="1CF3012B" w14:textId="77777777" w:rsidR="00706663" w:rsidRPr="00A00647" w:rsidRDefault="00706663" w:rsidP="00706663">
      <w:pPr>
        <w:pStyle w:val="ListParagraph"/>
        <w:numPr>
          <w:ilvl w:val="0"/>
          <w:numId w:val="39"/>
        </w:numPr>
        <w:spacing w:after="160" w:line="278" w:lineRule="auto"/>
        <w:rPr>
          <w:rFonts w:ascii="Trebuchet MS" w:hAnsi="Trebuchet MS"/>
          <w:szCs w:val="22"/>
        </w:rPr>
      </w:pPr>
      <w:r w:rsidRPr="00A00647">
        <w:rPr>
          <w:rFonts w:ascii="Trebuchet MS" w:hAnsi="Trebuchet MS"/>
          <w:szCs w:val="22"/>
        </w:rPr>
        <w:t xml:space="preserve">requires </w:t>
      </w:r>
      <w:r w:rsidRPr="00A00647">
        <w:rPr>
          <w:rFonts w:ascii="Trebuchet MS" w:hAnsi="Trebuchet MS"/>
          <w:b/>
          <w:bCs/>
          <w:szCs w:val="22"/>
        </w:rPr>
        <w:t>significant resources due to the number of data fields</w:t>
      </w:r>
      <w:r w:rsidRPr="00A00647">
        <w:rPr>
          <w:rFonts w:ascii="Trebuchet MS" w:hAnsi="Trebuchet MS"/>
          <w:szCs w:val="22"/>
        </w:rPr>
        <w:t xml:space="preserve"> – typically carried out by service providers and representing a real administrative and financial burden on smaller managers - a cost that is ultimately passed on to investors </w:t>
      </w:r>
    </w:p>
    <w:p w14:paraId="3180894B" w14:textId="77777777" w:rsidR="00706663" w:rsidRPr="00A00647" w:rsidRDefault="00706663" w:rsidP="00706663">
      <w:pPr>
        <w:rPr>
          <w:rFonts w:ascii="Trebuchet MS" w:hAnsi="Trebuchet MS"/>
          <w:szCs w:val="22"/>
        </w:rPr>
      </w:pPr>
      <w:r w:rsidRPr="00D97C0B">
        <w:rPr>
          <w:rFonts w:ascii="Trebuchet MS" w:hAnsi="Trebuchet MS"/>
          <w:szCs w:val="22"/>
        </w:rPr>
        <w:t xml:space="preserve">Many managers have long complained that reporting fields are often irrelevant in practice and do not really give investors – and regulators – the information they truly need. The exercise ESMA has launched with this consultation is </w:t>
      </w:r>
      <w:r>
        <w:rPr>
          <w:rFonts w:ascii="Trebuchet MS" w:hAnsi="Trebuchet MS"/>
          <w:szCs w:val="22"/>
        </w:rPr>
        <w:t>also very much</w:t>
      </w:r>
      <w:r w:rsidRPr="00D97C0B">
        <w:rPr>
          <w:rFonts w:ascii="Trebuchet MS" w:hAnsi="Trebuchet MS"/>
          <w:szCs w:val="22"/>
        </w:rPr>
        <w:t xml:space="preserve"> welcomed</w:t>
      </w:r>
      <w:r>
        <w:rPr>
          <w:rFonts w:ascii="Trebuchet MS" w:hAnsi="Trebuchet MS"/>
          <w:szCs w:val="22"/>
        </w:rPr>
        <w:t xml:space="preserve"> in that regard</w:t>
      </w:r>
      <w:r w:rsidRPr="00D97C0B">
        <w:rPr>
          <w:rFonts w:ascii="Trebuchet MS" w:hAnsi="Trebuchet MS"/>
          <w:szCs w:val="22"/>
        </w:rPr>
        <w:t xml:space="preserve">.  </w:t>
      </w:r>
    </w:p>
    <w:p w14:paraId="2B1FBE57" w14:textId="77777777" w:rsidR="00706663" w:rsidRPr="00D97C0B" w:rsidRDefault="00706663" w:rsidP="00706663">
      <w:pPr>
        <w:pStyle w:val="ListParagraph"/>
        <w:numPr>
          <w:ilvl w:val="0"/>
          <w:numId w:val="38"/>
        </w:numPr>
        <w:spacing w:after="160" w:line="278" w:lineRule="auto"/>
        <w:rPr>
          <w:rFonts w:ascii="Trebuchet MS" w:hAnsi="Trebuchet MS"/>
          <w:szCs w:val="22"/>
        </w:rPr>
      </w:pPr>
      <w:r w:rsidRPr="00D97C0B">
        <w:rPr>
          <w:rFonts w:ascii="Trebuchet MS" w:hAnsi="Trebuchet MS"/>
          <w:szCs w:val="22"/>
        </w:rPr>
        <w:t xml:space="preserve">is </w:t>
      </w:r>
      <w:r w:rsidRPr="00A00647">
        <w:rPr>
          <w:rFonts w:ascii="Trebuchet MS" w:hAnsi="Trebuchet MS"/>
          <w:b/>
          <w:bCs/>
          <w:szCs w:val="22"/>
        </w:rPr>
        <w:t>not sufficiently harmonised between Member States</w:t>
      </w:r>
      <w:r>
        <w:rPr>
          <w:rFonts w:ascii="Trebuchet MS" w:hAnsi="Trebuchet MS"/>
          <w:szCs w:val="22"/>
        </w:rPr>
        <w:t xml:space="preserve"> </w:t>
      </w:r>
      <w:r w:rsidRPr="00D97C0B">
        <w:rPr>
          <w:rFonts w:ascii="Trebuchet MS" w:hAnsi="Trebuchet MS"/>
          <w:szCs w:val="22"/>
        </w:rPr>
        <w:t>(as recognised by ESMA in paragraph 33, in general, and 38, for AIFMs)</w:t>
      </w:r>
    </w:p>
    <w:p w14:paraId="7BD5DD01" w14:textId="77777777" w:rsidR="00706663" w:rsidRDefault="00706663" w:rsidP="00706663">
      <w:pPr>
        <w:rPr>
          <w:rFonts w:ascii="Trebuchet MS" w:hAnsi="Trebuchet MS"/>
          <w:szCs w:val="22"/>
        </w:rPr>
      </w:pPr>
      <w:r>
        <w:rPr>
          <w:rFonts w:ascii="Trebuchet MS" w:hAnsi="Trebuchet MS"/>
          <w:szCs w:val="22"/>
        </w:rPr>
        <w:t>T</w:t>
      </w:r>
      <w:r w:rsidRPr="00D97C0B">
        <w:rPr>
          <w:rFonts w:ascii="Trebuchet MS" w:hAnsi="Trebuchet MS"/>
          <w:szCs w:val="22"/>
        </w:rPr>
        <w:t xml:space="preserve">he ability of Member States to request additional information </w:t>
      </w:r>
      <w:r>
        <w:rPr>
          <w:rFonts w:ascii="Trebuchet MS" w:hAnsi="Trebuchet MS"/>
          <w:szCs w:val="22"/>
        </w:rPr>
        <w:t xml:space="preserve">makes it more difficult for managers to market funds cross-border, a reality we have detailed in </w:t>
      </w:r>
      <w:hyperlink r:id="rId24" w:history="1">
        <w:r w:rsidRPr="00E00119">
          <w:rPr>
            <w:rStyle w:val="Hyperlink"/>
            <w:rFonts w:ascii="Trebuchet MS" w:hAnsi="Trebuchet MS"/>
            <w:szCs w:val="22"/>
          </w:rPr>
          <w:t>our recent submission to the European Commission Consultation on the integration of EU Capital Markets</w:t>
        </w:r>
      </w:hyperlink>
      <w:r>
        <w:rPr>
          <w:rFonts w:ascii="Trebuchet MS" w:hAnsi="Trebuchet MS"/>
          <w:szCs w:val="22"/>
        </w:rPr>
        <w:t xml:space="preserve">. We welcome any efforts made by ESMA to tackle these inconsistencies, as they do act as a strong disincentive for managers wishing to develop </w:t>
      </w:r>
      <w:proofErr w:type="gramStart"/>
      <w:r>
        <w:rPr>
          <w:rFonts w:ascii="Trebuchet MS" w:hAnsi="Trebuchet MS"/>
          <w:szCs w:val="22"/>
        </w:rPr>
        <w:t>a</w:t>
      </w:r>
      <w:proofErr w:type="gramEnd"/>
      <w:r>
        <w:rPr>
          <w:rFonts w:ascii="Trebuchet MS" w:hAnsi="Trebuchet MS"/>
          <w:szCs w:val="22"/>
        </w:rPr>
        <w:t xml:space="preserve"> EU-wide strategy. </w:t>
      </w:r>
    </w:p>
    <w:p w14:paraId="568C618E" w14:textId="77777777" w:rsidR="00706663" w:rsidRPr="00D97C0B" w:rsidRDefault="00706663" w:rsidP="00706663">
      <w:pPr>
        <w:rPr>
          <w:rFonts w:ascii="Trebuchet MS" w:hAnsi="Trebuchet MS"/>
          <w:szCs w:val="22"/>
        </w:rPr>
      </w:pPr>
      <w:r>
        <w:rPr>
          <w:rFonts w:ascii="Trebuchet MS" w:hAnsi="Trebuchet MS"/>
          <w:szCs w:val="22"/>
        </w:rPr>
        <w:t>In practice, r</w:t>
      </w:r>
      <w:r w:rsidRPr="00E65BAF">
        <w:rPr>
          <w:rFonts w:ascii="Trebuchet MS" w:hAnsi="Trebuchet MS"/>
          <w:szCs w:val="22"/>
        </w:rPr>
        <w:t>eporting is typically carried out with the assistance of service providers, who design standardized templates that not only frame the reporting process but also embed their own interpretations, thereby shaping market practices. However, the repeated exchanges between managers and service providers often become cumbersome and costly</w:t>
      </w:r>
      <w:r>
        <w:rPr>
          <w:rFonts w:ascii="Trebuchet MS" w:hAnsi="Trebuchet MS"/>
          <w:szCs w:val="22"/>
        </w:rPr>
        <w:t xml:space="preserve">. </w:t>
      </w:r>
      <w:r w:rsidRPr="00A0635A">
        <w:rPr>
          <w:rFonts w:ascii="Trebuchet MS" w:hAnsi="Trebuchet MS"/>
          <w:szCs w:val="22"/>
        </w:rPr>
        <w:t>Managers ultimately devote significant time and resources to reporting, despite their core mission being to support unlisted companies.</w:t>
      </w:r>
    </w:p>
    <w:p w14:paraId="62875788" w14:textId="77777777" w:rsidR="00706663" w:rsidRPr="00D97C0B" w:rsidRDefault="00706663" w:rsidP="00706663">
      <w:pPr>
        <w:rPr>
          <w:rFonts w:ascii="Trebuchet MS" w:hAnsi="Trebuchet MS"/>
          <w:szCs w:val="22"/>
        </w:rPr>
      </w:pPr>
      <w:r>
        <w:rPr>
          <w:rFonts w:ascii="Trebuchet MS" w:hAnsi="Trebuchet MS"/>
          <w:szCs w:val="22"/>
        </w:rPr>
        <w:t>M</w:t>
      </w:r>
      <w:r w:rsidRPr="00D97C0B">
        <w:rPr>
          <w:rFonts w:ascii="Trebuchet MS" w:hAnsi="Trebuchet MS"/>
          <w:szCs w:val="22"/>
        </w:rPr>
        <w:t xml:space="preserve">anagers of various sizes authorised under AIFMD typically estimate their reporting requirements </w:t>
      </w:r>
      <w:r>
        <w:rPr>
          <w:rFonts w:ascii="Trebuchet MS" w:hAnsi="Trebuchet MS"/>
          <w:szCs w:val="22"/>
        </w:rPr>
        <w:t>to start at around</w:t>
      </w:r>
      <w:r w:rsidRPr="00D97C0B">
        <w:rPr>
          <w:rFonts w:ascii="Trebuchet MS" w:hAnsi="Trebuchet MS"/>
          <w:szCs w:val="22"/>
        </w:rPr>
        <w:t xml:space="preserve"> €100</w:t>
      </w:r>
      <w:r>
        <w:rPr>
          <w:rFonts w:ascii="Trebuchet MS" w:hAnsi="Trebuchet MS"/>
          <w:szCs w:val="22"/>
        </w:rPr>
        <w:t>K</w:t>
      </w:r>
      <w:r w:rsidRPr="00D97C0B">
        <w:rPr>
          <w:rFonts w:ascii="Trebuchet MS" w:hAnsi="Trebuchet MS"/>
          <w:szCs w:val="22"/>
        </w:rPr>
        <w:t xml:space="preserve"> to </w:t>
      </w:r>
      <w:r>
        <w:rPr>
          <w:rFonts w:ascii="Trebuchet MS" w:hAnsi="Trebuchet MS"/>
          <w:szCs w:val="22"/>
        </w:rPr>
        <w:t>€</w:t>
      </w:r>
      <w:r w:rsidRPr="00D97C0B">
        <w:rPr>
          <w:rFonts w:ascii="Trebuchet MS" w:hAnsi="Trebuchet MS"/>
          <w:szCs w:val="22"/>
        </w:rPr>
        <w:t xml:space="preserve">200K. This cost is typically harder on small managers that have just been authorised, as larger managers are better able to cope with the complexity and length of </w:t>
      </w:r>
      <w:r>
        <w:rPr>
          <w:rFonts w:ascii="Trebuchet MS" w:hAnsi="Trebuchet MS"/>
          <w:szCs w:val="22"/>
        </w:rPr>
        <w:t>“Annex</w:t>
      </w:r>
      <w:r w:rsidRPr="00D97C0B">
        <w:rPr>
          <w:rFonts w:ascii="Trebuchet MS" w:hAnsi="Trebuchet MS"/>
          <w:szCs w:val="22"/>
        </w:rPr>
        <w:t xml:space="preserve"> IV</w:t>
      </w:r>
      <w:r>
        <w:rPr>
          <w:rFonts w:ascii="Trebuchet MS" w:hAnsi="Trebuchet MS"/>
          <w:szCs w:val="22"/>
        </w:rPr>
        <w:t>” AIFMD</w:t>
      </w:r>
      <w:r w:rsidRPr="00D97C0B">
        <w:rPr>
          <w:rFonts w:ascii="Trebuchet MS" w:hAnsi="Trebuchet MS"/>
          <w:szCs w:val="22"/>
        </w:rPr>
        <w:t xml:space="preserve"> reporting. </w:t>
      </w:r>
    </w:p>
    <w:p w14:paraId="7D35D92A" w14:textId="3ED77DAF" w:rsidR="00706663" w:rsidRDefault="00706663" w:rsidP="00706663">
      <w:pPr>
        <w:rPr>
          <w:rFonts w:ascii="Trebuchet MS" w:hAnsi="Trebuchet MS"/>
          <w:szCs w:val="22"/>
        </w:rPr>
      </w:pPr>
      <w:r w:rsidRPr="00C458E2">
        <w:rPr>
          <w:rFonts w:ascii="Trebuchet MS" w:hAnsi="Trebuchet MS"/>
          <w:szCs w:val="22"/>
        </w:rPr>
        <w:lastRenderedPageBreak/>
        <w:t xml:space="preserve">Finally, we are not </w:t>
      </w:r>
      <w:r>
        <w:rPr>
          <w:rFonts w:ascii="Trebuchet MS" w:hAnsi="Trebuchet MS"/>
          <w:szCs w:val="22"/>
        </w:rPr>
        <w:t>opposed to</w:t>
      </w:r>
      <w:r w:rsidRPr="00C458E2">
        <w:rPr>
          <w:rFonts w:ascii="Trebuchet MS" w:hAnsi="Trebuchet MS"/>
          <w:szCs w:val="22"/>
        </w:rPr>
        <w:t xml:space="preserve"> the idea to more appropriately reflect the different fund models to avoid most funds falling under the category “others”. We understand that many private equity funds are currently reporting themselves as “others” as there is no “buy-out” category. </w:t>
      </w:r>
    </w:p>
    <w:permEnd w:id="2146780344"/>
    <w:p w14:paraId="64209360" w14:textId="77777777"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03040213" w14:textId="77777777" w:rsidR="00706663" w:rsidRDefault="00706663" w:rsidP="00706663">
      <w:pPr>
        <w:rPr>
          <w:rFonts w:ascii="Trebuchet MS" w:hAnsi="Trebuchet MS"/>
          <w:szCs w:val="22"/>
        </w:rPr>
      </w:pPr>
      <w:permStart w:id="517421490" w:edGrp="everyone"/>
      <w:r w:rsidRPr="00D97C0B">
        <w:rPr>
          <w:rFonts w:ascii="Trebuchet MS" w:hAnsi="Trebuchet MS"/>
          <w:szCs w:val="22"/>
        </w:rPr>
        <w:t xml:space="preserve">The below suggestions are not limited to retail investment funds but based on common reporting issues more broadly. </w:t>
      </w:r>
    </w:p>
    <w:p w14:paraId="4BD052AA" w14:textId="77777777" w:rsidR="00706663" w:rsidRDefault="00706663" w:rsidP="00706663">
      <w:pPr>
        <w:rPr>
          <w:rFonts w:ascii="Trebuchet MS" w:hAnsi="Trebuchet MS"/>
          <w:szCs w:val="22"/>
        </w:rPr>
      </w:pPr>
      <w:r w:rsidRPr="00D97C0B">
        <w:rPr>
          <w:rFonts w:ascii="Trebuchet MS" w:hAnsi="Trebuchet MS"/>
          <w:szCs w:val="22"/>
        </w:rPr>
        <w:t xml:space="preserve">As a reminder, private equity funds are </w:t>
      </w:r>
      <w:r>
        <w:rPr>
          <w:rFonts w:ascii="Trebuchet MS" w:hAnsi="Trebuchet MS"/>
          <w:szCs w:val="22"/>
        </w:rPr>
        <w:t xml:space="preserve">typically not offered to retail clients – as defined under EU law - and in nearly all situations </w:t>
      </w:r>
      <w:r w:rsidRPr="005E1AF7">
        <w:rPr>
          <w:rFonts w:ascii="Trebuchet MS" w:hAnsi="Trebuchet MS"/>
          <w:szCs w:val="22"/>
          <w:u w:val="single"/>
        </w:rPr>
        <w:t xml:space="preserve">not </w:t>
      </w:r>
      <w:r w:rsidRPr="00861552">
        <w:rPr>
          <w:rFonts w:ascii="Trebuchet MS" w:hAnsi="Trebuchet MS"/>
          <w:szCs w:val="22"/>
          <w:u w:val="single"/>
        </w:rPr>
        <w:t>mass-marketed</w:t>
      </w:r>
      <w:r>
        <w:rPr>
          <w:rFonts w:ascii="Trebuchet MS" w:hAnsi="Trebuchet MS"/>
          <w:szCs w:val="22"/>
        </w:rPr>
        <w:t xml:space="preserve"> to private individuals. </w:t>
      </w:r>
    </w:p>
    <w:p w14:paraId="120033B5" w14:textId="77777777" w:rsidR="00706663" w:rsidRDefault="00706663" w:rsidP="00706663">
      <w:pPr>
        <w:rPr>
          <w:rFonts w:ascii="Trebuchet MS" w:hAnsi="Trebuchet MS"/>
          <w:szCs w:val="22"/>
        </w:rPr>
      </w:pPr>
      <w:r>
        <w:rPr>
          <w:rFonts w:ascii="Trebuchet MS" w:hAnsi="Trebuchet MS"/>
          <w:szCs w:val="22"/>
        </w:rPr>
        <w:t xml:space="preserve">One of the overarching comments we are making with this submission is the difference between, on one hand, funds that are mostly offered to experienced investors through a negotiated process (the typical private equity model) and, on the other, funds that are mass-marketed to retail clients, directly or through intermediaries (by and large the UCITS model). We have long argued it is somewhat perilous to fully harmonise reporting rules that apply to both models (and therefore to apply UCITS rules to all AIFs), given the differences in knowledge between one and the other.  </w:t>
      </w:r>
    </w:p>
    <w:p w14:paraId="2CCC591B" w14:textId="77777777" w:rsidR="00706663" w:rsidRDefault="00706663" w:rsidP="00706663">
      <w:pPr>
        <w:rPr>
          <w:rFonts w:ascii="Trebuchet MS" w:hAnsi="Trebuchet MS"/>
          <w:szCs w:val="22"/>
        </w:rPr>
      </w:pPr>
      <w:r>
        <w:rPr>
          <w:rFonts w:ascii="Trebuchet MS" w:hAnsi="Trebuchet MS"/>
          <w:szCs w:val="22"/>
        </w:rPr>
        <w:t>We note that, over the past few years and steered by legislative developments such as the ELTIF Regulation, some private equity funds have increasingly been marketed to “sophisticated clients”, with minimum ticket sizes starting at € 50/100K and a different liquidity profile (typically near-evergreen vehicles). While venture and private equity funds have long been marketed to a selected number of entrepreneurs and high net worth individuals, this is by and large a new development that should be encouraged in the context of the Savings &amp; Investments Union efforts. The rise of these funds should not however lead ESMA to believe that private equity funds are soon to be mass-marketed to typical retail clients. Due to the illiquidity of assets, direct investments by small-ticket sizes private individuals in private equity funds is unlikely (the inclusion of private equity within pension and insurance portfolios is however a trend to follow).</w:t>
      </w:r>
    </w:p>
    <w:p w14:paraId="36833D0C" w14:textId="77777777" w:rsidR="00706663" w:rsidRPr="00922B19" w:rsidRDefault="00706663" w:rsidP="00706663">
      <w:pPr>
        <w:rPr>
          <w:rFonts w:ascii="Trebuchet MS" w:hAnsi="Trebuchet MS"/>
          <w:szCs w:val="22"/>
        </w:rPr>
      </w:pPr>
      <w:r>
        <w:rPr>
          <w:rFonts w:ascii="Trebuchet MS" w:hAnsi="Trebuchet MS"/>
          <w:szCs w:val="22"/>
        </w:rPr>
        <w:t xml:space="preserve">Irrespective of these broader considerations, here are a few suggestions applying to the wider fund world:  </w:t>
      </w:r>
    </w:p>
    <w:p w14:paraId="63C9BFD6" w14:textId="77777777" w:rsidR="00706663" w:rsidRPr="00922B19" w:rsidRDefault="00706663" w:rsidP="00706663">
      <w:pPr>
        <w:numPr>
          <w:ilvl w:val="1"/>
          <w:numId w:val="40"/>
        </w:numPr>
        <w:spacing w:after="0"/>
        <w:ind w:left="1080"/>
        <w:rPr>
          <w:rFonts w:ascii="Trebuchet MS" w:eastAsia="Times New Roman" w:hAnsi="Trebuchet MS" w:cs="Aptos"/>
        </w:rPr>
      </w:pPr>
      <w:r w:rsidRPr="00922B19">
        <w:rPr>
          <w:rFonts w:ascii="Trebuchet MS" w:eastAsia="Times New Roman" w:hAnsi="Trebuchet MS" w:cs="Calibri"/>
          <w:b/>
          <w:bCs/>
          <w:szCs w:val="22"/>
        </w:rPr>
        <w:t>Implement pre-submission validation checks:</w:t>
      </w:r>
      <w:r w:rsidRPr="00922B19">
        <w:rPr>
          <w:rFonts w:ascii="Trebuchet MS" w:eastAsia="Times New Roman" w:hAnsi="Trebuchet MS" w:cs="Calibri"/>
          <w:szCs w:val="22"/>
        </w:rPr>
        <w:t xml:space="preserve">  Similar to ESMA, all NCAs should provide fund managers with a facility to validate their data against regulatory reporting </w:t>
      </w:r>
      <w:r w:rsidRPr="00922B19">
        <w:rPr>
          <w:rFonts w:ascii="Trebuchet MS" w:eastAsia="Times New Roman" w:hAnsi="Trebuchet MS" w:cs="Calibri"/>
          <w:szCs w:val="22"/>
        </w:rPr>
        <w:lastRenderedPageBreak/>
        <w:t xml:space="preserve">rules (e.g. any errors, or anomalous data points) before formal submission.  This should enable firms to identify and correct data quality issues before submission, which should reduce regulatory follow-ups post-submission, general delays, and compliance costs for both sides, as well as improve data quality.  The roll out of a pre-submission validation tool should be easy to access and navigate, supported by clear guidance and training. </w:t>
      </w:r>
    </w:p>
    <w:p w14:paraId="4DD163B6" w14:textId="77777777" w:rsidR="00706663" w:rsidRPr="00922B19" w:rsidRDefault="00706663" w:rsidP="00706663">
      <w:pPr>
        <w:spacing w:after="0"/>
        <w:ind w:left="1080"/>
        <w:rPr>
          <w:rFonts w:ascii="Trebuchet MS" w:eastAsia="Aptos" w:hAnsi="Trebuchet MS" w:cs="Aptos"/>
        </w:rPr>
      </w:pPr>
      <w:r w:rsidRPr="00922B19">
        <w:rPr>
          <w:rFonts w:ascii="Trebuchet MS" w:eastAsia="Aptos" w:hAnsi="Trebuchet MS" w:cs="Calibri"/>
          <w:szCs w:val="22"/>
        </w:rPr>
        <w:t> </w:t>
      </w:r>
    </w:p>
    <w:p w14:paraId="74EB1754" w14:textId="77777777" w:rsidR="00706663" w:rsidRPr="00922B19" w:rsidRDefault="00706663" w:rsidP="00706663">
      <w:pPr>
        <w:numPr>
          <w:ilvl w:val="1"/>
          <w:numId w:val="40"/>
        </w:numPr>
        <w:spacing w:after="0"/>
        <w:ind w:left="1080"/>
        <w:rPr>
          <w:rFonts w:ascii="Trebuchet MS" w:eastAsia="Times New Roman" w:hAnsi="Trebuchet MS" w:cs="Aptos"/>
        </w:rPr>
      </w:pPr>
      <w:r w:rsidRPr="00922B19">
        <w:rPr>
          <w:rFonts w:ascii="Trebuchet MS" w:eastAsia="Times New Roman" w:hAnsi="Trebuchet MS" w:cs="Calibri"/>
          <w:b/>
          <w:bCs/>
          <w:szCs w:val="22"/>
        </w:rPr>
        <w:t>Publish feedback/ recommendations centrally:</w:t>
      </w:r>
      <w:r w:rsidRPr="00922B19">
        <w:rPr>
          <w:rFonts w:ascii="Trebuchet MS" w:eastAsia="Times New Roman" w:hAnsi="Trebuchet MS" w:cs="Calibri"/>
          <w:szCs w:val="22"/>
        </w:rPr>
        <w:t xml:space="preserve">  </w:t>
      </w:r>
      <w:r>
        <w:rPr>
          <w:rFonts w:ascii="Trebuchet MS" w:eastAsia="Times New Roman" w:hAnsi="Trebuchet MS" w:cs="Calibri"/>
          <w:szCs w:val="22"/>
        </w:rPr>
        <w:t>p</w:t>
      </w:r>
      <w:r w:rsidRPr="00922B19">
        <w:rPr>
          <w:rFonts w:ascii="Trebuchet MS" w:eastAsia="Times New Roman" w:hAnsi="Trebuchet MS" w:cs="Calibri"/>
          <w:szCs w:val="22"/>
        </w:rPr>
        <w:t xml:space="preserve">articularly on non-numerical data collection and any points on improvement. Developing a central online "knowledge base" and question management tool to enable firms to search and submit and track regulatory reporting queries could also save both the regulators and firms time and increase consistency of reporting while minimising duplicative queries.    </w:t>
      </w:r>
      <w:r w:rsidRPr="00922B19">
        <w:rPr>
          <w:rFonts w:ascii="Trebuchet MS" w:eastAsia="Times New Roman" w:hAnsi="Trebuchet MS" w:cs="Aptos"/>
        </w:rPr>
        <w:t>  </w:t>
      </w:r>
    </w:p>
    <w:p w14:paraId="79EAE607" w14:textId="77777777" w:rsidR="00706663" w:rsidRPr="00922B19" w:rsidRDefault="00706663" w:rsidP="00706663">
      <w:pPr>
        <w:spacing w:after="0"/>
        <w:ind w:left="1080"/>
        <w:rPr>
          <w:rFonts w:ascii="Trebuchet MS" w:eastAsia="Aptos" w:hAnsi="Trebuchet MS" w:cs="Aptos"/>
        </w:rPr>
      </w:pPr>
      <w:r w:rsidRPr="00922B19">
        <w:rPr>
          <w:rFonts w:ascii="Trebuchet MS" w:eastAsia="Aptos" w:hAnsi="Trebuchet MS" w:cs="Calibri"/>
          <w:szCs w:val="22"/>
        </w:rPr>
        <w:t> </w:t>
      </w:r>
    </w:p>
    <w:p w14:paraId="438785C4" w14:textId="77777777" w:rsidR="00706663" w:rsidRPr="00F76EF1" w:rsidRDefault="00706663" w:rsidP="00706663">
      <w:pPr>
        <w:numPr>
          <w:ilvl w:val="1"/>
          <w:numId w:val="40"/>
        </w:numPr>
        <w:spacing w:after="0"/>
        <w:ind w:left="1080"/>
        <w:rPr>
          <w:rFonts w:ascii="Trebuchet MS" w:eastAsia="Times New Roman" w:hAnsi="Trebuchet MS" w:cs="Aptos"/>
        </w:rPr>
      </w:pPr>
      <w:r w:rsidRPr="00922B19">
        <w:rPr>
          <w:rFonts w:ascii="Trebuchet MS" w:eastAsia="Times New Roman" w:hAnsi="Trebuchet MS" w:cs="Calibri"/>
          <w:b/>
          <w:bCs/>
          <w:szCs w:val="22"/>
        </w:rPr>
        <w:t xml:space="preserve">Publish structured data models and definitions:  </w:t>
      </w:r>
      <w:r w:rsidRPr="00922B19">
        <w:rPr>
          <w:rFonts w:ascii="Trebuchet MS" w:eastAsia="Times New Roman" w:hAnsi="Trebuchet MS" w:cs="Calibri"/>
          <w:szCs w:val="22"/>
        </w:rPr>
        <w:t>Require all EEA regulatory returns to be accompanied by a published, machine-readable data model (e.g. Class Domain Model), including field definitions, relationships, validation rules, and data standards.  This should enable firms to automate mapping from internal systems to regulatory returns, and ensure a common understanding of data definitions, reducing inconsistency.</w:t>
      </w:r>
    </w:p>
    <w:p w14:paraId="41238758" w14:textId="77777777" w:rsidR="00706663" w:rsidRDefault="00706663" w:rsidP="00706663">
      <w:pPr>
        <w:spacing w:after="0"/>
        <w:rPr>
          <w:rFonts w:ascii="Trebuchet MS" w:hAnsi="Trebuchet MS"/>
          <w:szCs w:val="22"/>
        </w:rPr>
      </w:pPr>
    </w:p>
    <w:p w14:paraId="0B0C1E54" w14:textId="77777777" w:rsidR="00706663" w:rsidRPr="00922B19" w:rsidRDefault="00706663" w:rsidP="00706663">
      <w:pPr>
        <w:spacing w:after="0"/>
        <w:rPr>
          <w:rFonts w:ascii="Trebuchet MS" w:eastAsia="Times New Roman" w:hAnsi="Trebuchet MS" w:cs="Aptos"/>
        </w:rPr>
      </w:pPr>
      <w:r w:rsidRPr="00DB0C82">
        <w:rPr>
          <w:rFonts w:ascii="Trebuchet MS" w:hAnsi="Trebuchet MS"/>
          <w:szCs w:val="22"/>
        </w:rPr>
        <w:t>If we acknowledge that a core reporting on their common features could apply to both UCITS and AIFs, we call for calibrated reporting fields tailored to the funds’ specificities (including assets managed, e.g. non-listed equity)</w:t>
      </w:r>
      <w:r>
        <w:rPr>
          <w:rFonts w:ascii="Trebuchet MS" w:hAnsi="Trebuchet MS"/>
          <w:szCs w:val="22"/>
        </w:rPr>
        <w:t xml:space="preserve"> – see our comments on Question 5</w:t>
      </w:r>
      <w:r w:rsidRPr="00DB0C82">
        <w:rPr>
          <w:rFonts w:ascii="Trebuchet MS" w:hAnsi="Trebuchet MS"/>
          <w:szCs w:val="22"/>
        </w:rPr>
        <w:t>.</w:t>
      </w:r>
    </w:p>
    <w:permEnd w:id="517421490"/>
    <w:p w14:paraId="3D7BF70F" w14:textId="77777777"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4701A819" w14:textId="77777777" w:rsidR="00706663" w:rsidRPr="00C458E2" w:rsidRDefault="00706663" w:rsidP="00706663">
      <w:pPr>
        <w:rPr>
          <w:rFonts w:ascii="Trebuchet MS" w:hAnsi="Trebuchet MS"/>
          <w:szCs w:val="22"/>
        </w:rPr>
      </w:pPr>
      <w:permStart w:id="1623937441" w:edGrp="everyone"/>
      <w:r>
        <w:rPr>
          <w:rFonts w:ascii="Trebuchet MS" w:hAnsi="Trebuchet MS"/>
          <w:szCs w:val="22"/>
        </w:rPr>
        <w:t>Our understanding is that national reporting is in large part inspired by AIFMD Art 22 and 24 requirements. We</w:t>
      </w:r>
      <w:r w:rsidRPr="00C458E2">
        <w:rPr>
          <w:rFonts w:ascii="Trebuchet MS" w:hAnsi="Trebuchet MS"/>
          <w:szCs w:val="22"/>
        </w:rPr>
        <w:t xml:space="preserve"> have</w:t>
      </w:r>
      <w:r>
        <w:rPr>
          <w:rFonts w:ascii="Trebuchet MS" w:hAnsi="Trebuchet MS"/>
          <w:szCs w:val="22"/>
        </w:rPr>
        <w:t xml:space="preserve"> however</w:t>
      </w:r>
      <w:r w:rsidRPr="00C458E2">
        <w:rPr>
          <w:rFonts w:ascii="Trebuchet MS" w:hAnsi="Trebuchet MS"/>
          <w:szCs w:val="22"/>
        </w:rPr>
        <w:t xml:space="preserve"> identified </w:t>
      </w:r>
      <w:r w:rsidRPr="00E43098">
        <w:rPr>
          <w:rFonts w:ascii="Trebuchet MS" w:hAnsi="Trebuchet MS"/>
          <w:szCs w:val="22"/>
          <w:u w:val="single"/>
        </w:rPr>
        <w:t>at least</w:t>
      </w:r>
      <w:r>
        <w:rPr>
          <w:rFonts w:ascii="Trebuchet MS" w:hAnsi="Trebuchet MS"/>
          <w:szCs w:val="22"/>
        </w:rPr>
        <w:t xml:space="preserve"> </w:t>
      </w:r>
      <w:r w:rsidRPr="00C458E2">
        <w:rPr>
          <w:rFonts w:ascii="Trebuchet MS" w:hAnsi="Trebuchet MS"/>
          <w:szCs w:val="22"/>
        </w:rPr>
        <w:t>three main types of additional, non-harmonised reporting obligations, being:</w:t>
      </w:r>
    </w:p>
    <w:p w14:paraId="259AAF89" w14:textId="77777777" w:rsidR="00706663" w:rsidRPr="00C458E2" w:rsidRDefault="00706663" w:rsidP="00706663">
      <w:pPr>
        <w:rPr>
          <w:rFonts w:ascii="Trebuchet MS" w:hAnsi="Trebuchet MS"/>
          <w:szCs w:val="22"/>
        </w:rPr>
      </w:pPr>
      <w:r w:rsidRPr="00C458E2">
        <w:rPr>
          <w:rFonts w:ascii="Trebuchet MS" w:hAnsi="Trebuchet MS"/>
          <w:szCs w:val="22"/>
        </w:rPr>
        <w:t>1)</w:t>
      </w:r>
      <w:r w:rsidRPr="00C458E2">
        <w:rPr>
          <w:rFonts w:ascii="Trebuchet MS" w:hAnsi="Trebuchet MS"/>
          <w:szCs w:val="22"/>
        </w:rPr>
        <w:tab/>
        <w:t>the obligation to report on internal control measures;</w:t>
      </w:r>
    </w:p>
    <w:p w14:paraId="3A4CD630" w14:textId="77777777" w:rsidR="00706663" w:rsidRPr="00C458E2" w:rsidRDefault="00706663" w:rsidP="00706663">
      <w:pPr>
        <w:rPr>
          <w:rFonts w:ascii="Trebuchet MS" w:hAnsi="Trebuchet MS"/>
          <w:szCs w:val="22"/>
        </w:rPr>
      </w:pPr>
      <w:r w:rsidRPr="00C458E2">
        <w:rPr>
          <w:rFonts w:ascii="Trebuchet MS" w:hAnsi="Trebuchet MS"/>
          <w:szCs w:val="22"/>
        </w:rPr>
        <w:t>2)</w:t>
      </w:r>
      <w:r w:rsidRPr="00C458E2">
        <w:rPr>
          <w:rFonts w:ascii="Trebuchet MS" w:hAnsi="Trebuchet MS"/>
          <w:szCs w:val="22"/>
        </w:rPr>
        <w:tab/>
        <w:t>the obligation to report on outsourcing arrangements; and</w:t>
      </w:r>
    </w:p>
    <w:p w14:paraId="30C1CADA" w14:textId="77777777" w:rsidR="00706663" w:rsidRPr="00C458E2" w:rsidRDefault="00706663" w:rsidP="00706663">
      <w:pPr>
        <w:rPr>
          <w:rFonts w:ascii="Trebuchet MS" w:hAnsi="Trebuchet MS"/>
          <w:szCs w:val="22"/>
        </w:rPr>
      </w:pPr>
      <w:r w:rsidRPr="00C458E2">
        <w:rPr>
          <w:rFonts w:ascii="Trebuchet MS" w:hAnsi="Trebuchet MS"/>
          <w:szCs w:val="22"/>
        </w:rPr>
        <w:lastRenderedPageBreak/>
        <w:t>3)</w:t>
      </w:r>
      <w:r w:rsidRPr="00C458E2">
        <w:rPr>
          <w:rFonts w:ascii="Trebuchet MS" w:hAnsi="Trebuchet MS"/>
          <w:szCs w:val="22"/>
        </w:rPr>
        <w:tab/>
        <w:t>the obligation to report on periodic financial statements.</w:t>
      </w:r>
    </w:p>
    <w:p w14:paraId="158FD7C0" w14:textId="77777777" w:rsidR="00706663" w:rsidRPr="00C458E2" w:rsidRDefault="00706663" w:rsidP="00706663">
      <w:pPr>
        <w:rPr>
          <w:rFonts w:ascii="Trebuchet MS" w:hAnsi="Trebuchet MS"/>
          <w:szCs w:val="22"/>
        </w:rPr>
      </w:pPr>
      <w:r w:rsidRPr="00C458E2">
        <w:rPr>
          <w:rFonts w:ascii="Trebuchet MS" w:hAnsi="Trebuchet MS"/>
          <w:szCs w:val="22"/>
        </w:rPr>
        <w:t>Below we have provided a short description of these additional reporting obligations, followed by our assessment of how the contents of these reports overlap with some of the EU harmonised rules on (i) the annual reports (art. 22 AIFMD) and (ii) reporting to the competent authorities (art. 24 AIFMD).</w:t>
      </w:r>
    </w:p>
    <w:p w14:paraId="4A54B053" w14:textId="77777777" w:rsidR="00706663" w:rsidRPr="00E43098" w:rsidRDefault="00706663" w:rsidP="00706663">
      <w:pPr>
        <w:pStyle w:val="ListParagraph"/>
        <w:numPr>
          <w:ilvl w:val="0"/>
          <w:numId w:val="41"/>
        </w:numPr>
        <w:spacing w:after="160" w:line="278" w:lineRule="auto"/>
        <w:rPr>
          <w:rFonts w:ascii="Trebuchet MS" w:hAnsi="Trebuchet MS"/>
          <w:b/>
          <w:bCs/>
          <w:szCs w:val="22"/>
        </w:rPr>
      </w:pPr>
      <w:r w:rsidRPr="00E43098">
        <w:rPr>
          <w:rFonts w:ascii="Trebuchet MS" w:hAnsi="Trebuchet MS"/>
          <w:b/>
          <w:bCs/>
          <w:szCs w:val="22"/>
        </w:rPr>
        <w:t>Reporting on internal control measures</w:t>
      </w:r>
    </w:p>
    <w:p w14:paraId="2DFD363F" w14:textId="77777777" w:rsidR="00706663" w:rsidRPr="00C458E2" w:rsidRDefault="00706663" w:rsidP="00706663">
      <w:pPr>
        <w:rPr>
          <w:rFonts w:ascii="Trebuchet MS" w:hAnsi="Trebuchet MS"/>
          <w:szCs w:val="22"/>
        </w:rPr>
      </w:pPr>
      <w:r>
        <w:rPr>
          <w:rFonts w:ascii="Trebuchet MS" w:hAnsi="Trebuchet MS"/>
          <w:szCs w:val="22"/>
        </w:rPr>
        <w:t>Some authorities, such as the FSMA in Belgium,</w:t>
      </w:r>
      <w:r w:rsidRPr="00C458E2">
        <w:rPr>
          <w:rFonts w:ascii="Trebuchet MS" w:hAnsi="Trebuchet MS"/>
          <w:szCs w:val="22"/>
        </w:rPr>
        <w:t xml:space="preserve"> expect the effective leaders (i.e. the management committee) of AIFMs to maintain an accurate description of their </w:t>
      </w:r>
      <w:r w:rsidRPr="00E43098">
        <w:rPr>
          <w:rFonts w:ascii="Trebuchet MS" w:hAnsi="Trebuchet MS"/>
          <w:b/>
          <w:bCs/>
          <w:szCs w:val="22"/>
        </w:rPr>
        <w:t>internal controls</w:t>
      </w:r>
      <w:r w:rsidRPr="00C458E2">
        <w:rPr>
          <w:rFonts w:ascii="Trebuchet MS" w:hAnsi="Trebuchet MS"/>
          <w:szCs w:val="22"/>
        </w:rPr>
        <w:t>. This description must contain at least the following topics, each of which must be sufficiently elaborated:</w:t>
      </w:r>
    </w:p>
    <w:p w14:paraId="6616DD69" w14:textId="77777777" w:rsidR="00706663" w:rsidRPr="00C458E2" w:rsidRDefault="00706663" w:rsidP="00706663">
      <w:pPr>
        <w:pStyle w:val="ListParagraph"/>
        <w:numPr>
          <w:ilvl w:val="0"/>
          <w:numId w:val="42"/>
        </w:numPr>
        <w:spacing w:after="160" w:line="278" w:lineRule="auto"/>
        <w:rPr>
          <w:rFonts w:ascii="Trebuchet MS" w:hAnsi="Trebuchet MS"/>
          <w:szCs w:val="22"/>
        </w:rPr>
      </w:pPr>
      <w:r w:rsidRPr="00C458E2">
        <w:rPr>
          <w:rFonts w:ascii="Trebuchet MS" w:hAnsi="Trebuchet MS"/>
          <w:szCs w:val="22"/>
        </w:rPr>
        <w:t xml:space="preserve">methodology employed by the AIFM to assess its internal control mechanisms; </w:t>
      </w:r>
    </w:p>
    <w:p w14:paraId="1638ECC6" w14:textId="77777777" w:rsidR="00706663" w:rsidRPr="00C458E2" w:rsidRDefault="00706663" w:rsidP="00706663">
      <w:pPr>
        <w:pStyle w:val="ListParagraph"/>
        <w:numPr>
          <w:ilvl w:val="0"/>
          <w:numId w:val="42"/>
        </w:numPr>
        <w:spacing w:after="160" w:line="278" w:lineRule="auto"/>
        <w:rPr>
          <w:rFonts w:ascii="Trebuchet MS" w:hAnsi="Trebuchet MS"/>
          <w:szCs w:val="22"/>
        </w:rPr>
      </w:pPr>
      <w:r w:rsidRPr="00C458E2">
        <w:rPr>
          <w:rFonts w:ascii="Trebuchet MS" w:hAnsi="Trebuchet MS"/>
          <w:szCs w:val="22"/>
        </w:rPr>
        <w:t>activities and organisation of the company (including support functions, staff functions, and independent control functions);</w:t>
      </w:r>
    </w:p>
    <w:p w14:paraId="20E0236D" w14:textId="77777777" w:rsidR="00706663" w:rsidRPr="00C458E2" w:rsidRDefault="00706663" w:rsidP="00706663">
      <w:pPr>
        <w:pStyle w:val="ListParagraph"/>
        <w:numPr>
          <w:ilvl w:val="0"/>
          <w:numId w:val="42"/>
        </w:numPr>
        <w:spacing w:after="160" w:line="278" w:lineRule="auto"/>
        <w:rPr>
          <w:rFonts w:ascii="Trebuchet MS" w:hAnsi="Trebuchet MS"/>
          <w:szCs w:val="22"/>
        </w:rPr>
      </w:pPr>
      <w:r w:rsidRPr="00C458E2">
        <w:rPr>
          <w:rFonts w:ascii="Trebuchet MS" w:hAnsi="Trebuchet MS"/>
          <w:szCs w:val="22"/>
        </w:rPr>
        <w:t xml:space="preserve">second-line controls set-up by the compliance function for the different activities of the company; </w:t>
      </w:r>
    </w:p>
    <w:p w14:paraId="51BBC89D" w14:textId="77777777" w:rsidR="00706663" w:rsidRPr="00C458E2" w:rsidRDefault="00706663" w:rsidP="00706663">
      <w:pPr>
        <w:pStyle w:val="ListParagraph"/>
        <w:numPr>
          <w:ilvl w:val="0"/>
          <w:numId w:val="42"/>
        </w:numPr>
        <w:spacing w:after="160" w:line="278" w:lineRule="auto"/>
        <w:rPr>
          <w:rFonts w:ascii="Trebuchet MS" w:hAnsi="Trebuchet MS"/>
          <w:szCs w:val="22"/>
        </w:rPr>
      </w:pPr>
      <w:r w:rsidRPr="00C458E2">
        <w:rPr>
          <w:rFonts w:ascii="Trebuchet MS" w:hAnsi="Trebuchet MS"/>
          <w:szCs w:val="22"/>
        </w:rPr>
        <w:t xml:space="preserve">second-line controls set up by the risk management function for the different activities of the company; and </w:t>
      </w:r>
    </w:p>
    <w:p w14:paraId="2C0C1BD5" w14:textId="77777777" w:rsidR="00706663" w:rsidRPr="00C458E2" w:rsidRDefault="00706663" w:rsidP="00706663">
      <w:pPr>
        <w:pStyle w:val="ListParagraph"/>
        <w:numPr>
          <w:ilvl w:val="0"/>
          <w:numId w:val="42"/>
        </w:numPr>
        <w:spacing w:after="160" w:line="278" w:lineRule="auto"/>
        <w:rPr>
          <w:rFonts w:ascii="Trebuchet MS" w:hAnsi="Trebuchet MS"/>
          <w:szCs w:val="22"/>
        </w:rPr>
      </w:pPr>
      <w:r w:rsidRPr="00C458E2">
        <w:rPr>
          <w:rFonts w:ascii="Trebuchet MS" w:hAnsi="Trebuchet MS"/>
          <w:szCs w:val="22"/>
        </w:rPr>
        <w:t xml:space="preserve">controls focused on the reliability of the financial reporting process.  </w:t>
      </w:r>
    </w:p>
    <w:p w14:paraId="67948A53" w14:textId="77777777" w:rsidR="00706663" w:rsidRPr="00C458E2" w:rsidRDefault="00706663" w:rsidP="00706663">
      <w:pPr>
        <w:rPr>
          <w:rFonts w:ascii="Trebuchet MS" w:hAnsi="Trebuchet MS"/>
          <w:szCs w:val="22"/>
        </w:rPr>
      </w:pPr>
      <w:r w:rsidRPr="00C458E2">
        <w:rPr>
          <w:rFonts w:ascii="Trebuchet MS" w:hAnsi="Trebuchet MS"/>
          <w:szCs w:val="22"/>
        </w:rPr>
        <w:t xml:space="preserve">Each time there is a material change to the internal controls of the AIFM, </w:t>
      </w:r>
      <w:r>
        <w:rPr>
          <w:rFonts w:ascii="Trebuchet MS" w:hAnsi="Trebuchet MS"/>
          <w:szCs w:val="22"/>
        </w:rPr>
        <w:t>these authorities</w:t>
      </w:r>
      <w:r w:rsidRPr="00C458E2">
        <w:rPr>
          <w:rFonts w:ascii="Trebuchet MS" w:hAnsi="Trebuchet MS"/>
          <w:szCs w:val="22"/>
        </w:rPr>
        <w:t xml:space="preserve"> wish to receive an updated version of the internal control report. By means of an annual questionnaire, the effective leaders must assess and report on the appropriateness and functioning of the internal control mechanisms to the </w:t>
      </w:r>
      <w:r>
        <w:rPr>
          <w:rFonts w:ascii="Trebuchet MS" w:hAnsi="Trebuchet MS"/>
          <w:szCs w:val="22"/>
        </w:rPr>
        <w:t>authority</w:t>
      </w:r>
      <w:r w:rsidRPr="00C458E2">
        <w:rPr>
          <w:rFonts w:ascii="Trebuchet MS" w:hAnsi="Trebuchet MS"/>
          <w:szCs w:val="22"/>
        </w:rPr>
        <w:t>.</w:t>
      </w:r>
    </w:p>
    <w:p w14:paraId="488B8B16" w14:textId="77777777" w:rsidR="00706663" w:rsidRPr="003C3181" w:rsidRDefault="00706663" w:rsidP="00706663">
      <w:pPr>
        <w:pStyle w:val="ListParagraph"/>
        <w:numPr>
          <w:ilvl w:val="0"/>
          <w:numId w:val="41"/>
        </w:numPr>
        <w:spacing w:after="160" w:line="278" w:lineRule="auto"/>
        <w:rPr>
          <w:rFonts w:ascii="Trebuchet MS" w:hAnsi="Trebuchet MS"/>
          <w:b/>
          <w:bCs/>
          <w:szCs w:val="22"/>
        </w:rPr>
      </w:pPr>
      <w:r w:rsidRPr="00E43098">
        <w:rPr>
          <w:rFonts w:ascii="Trebuchet MS" w:hAnsi="Trebuchet MS"/>
          <w:b/>
          <w:bCs/>
          <w:szCs w:val="22"/>
        </w:rPr>
        <w:t>Reporting on outsourcing arrangements</w:t>
      </w:r>
    </w:p>
    <w:p w14:paraId="2C63AB47" w14:textId="77777777" w:rsidR="00706663" w:rsidRPr="00C458E2" w:rsidRDefault="00706663" w:rsidP="00706663">
      <w:pPr>
        <w:rPr>
          <w:rFonts w:ascii="Trebuchet MS" w:hAnsi="Trebuchet MS"/>
          <w:szCs w:val="22"/>
        </w:rPr>
      </w:pPr>
      <w:r w:rsidRPr="00C458E2">
        <w:rPr>
          <w:rFonts w:ascii="Trebuchet MS" w:hAnsi="Trebuchet MS"/>
          <w:szCs w:val="22"/>
        </w:rPr>
        <w:t xml:space="preserve">When AIFMs (sub)delegate critical or important functions, they must provide </w:t>
      </w:r>
      <w:r>
        <w:rPr>
          <w:rFonts w:ascii="Trebuchet MS" w:hAnsi="Trebuchet MS"/>
          <w:szCs w:val="22"/>
        </w:rPr>
        <w:t>authorities</w:t>
      </w:r>
      <w:r w:rsidRPr="00C458E2">
        <w:rPr>
          <w:rFonts w:ascii="Trebuchet MS" w:hAnsi="Trebuchet MS"/>
          <w:szCs w:val="22"/>
        </w:rPr>
        <w:t xml:space="preserve"> with detailed information regarding the delegated critical or import functions and the identity of the outsourcing service provider. AIFMs must report this information to the </w:t>
      </w:r>
      <w:r>
        <w:rPr>
          <w:rFonts w:ascii="Trebuchet MS" w:hAnsi="Trebuchet MS"/>
          <w:szCs w:val="22"/>
        </w:rPr>
        <w:t>authority</w:t>
      </w:r>
      <w:r w:rsidRPr="00C458E2">
        <w:rPr>
          <w:rFonts w:ascii="Trebuchet MS" w:hAnsi="Trebuchet MS"/>
          <w:szCs w:val="22"/>
        </w:rPr>
        <w:t xml:space="preserve"> by means of a questionnaire, which must be updated each time there are material changes in the outsourcing arrangements.</w:t>
      </w:r>
    </w:p>
    <w:p w14:paraId="06AE85EF" w14:textId="77777777" w:rsidR="00706663" w:rsidRPr="00E43098" w:rsidRDefault="00706663" w:rsidP="00706663">
      <w:pPr>
        <w:pStyle w:val="ListParagraph"/>
        <w:numPr>
          <w:ilvl w:val="0"/>
          <w:numId w:val="41"/>
        </w:numPr>
        <w:spacing w:after="160" w:line="278" w:lineRule="auto"/>
        <w:rPr>
          <w:rFonts w:ascii="Trebuchet MS" w:hAnsi="Trebuchet MS"/>
          <w:b/>
          <w:bCs/>
          <w:szCs w:val="22"/>
        </w:rPr>
      </w:pPr>
      <w:r w:rsidRPr="00E43098">
        <w:rPr>
          <w:rFonts w:ascii="Trebuchet MS" w:hAnsi="Trebuchet MS"/>
          <w:b/>
          <w:bCs/>
          <w:szCs w:val="22"/>
        </w:rPr>
        <w:t>Periodic financial statements</w:t>
      </w:r>
    </w:p>
    <w:p w14:paraId="7054CBB5" w14:textId="77777777" w:rsidR="00706663" w:rsidRPr="00C458E2" w:rsidRDefault="00706663" w:rsidP="00706663">
      <w:pPr>
        <w:rPr>
          <w:rFonts w:ascii="Trebuchet MS" w:hAnsi="Trebuchet MS"/>
          <w:szCs w:val="22"/>
        </w:rPr>
      </w:pPr>
      <w:r w:rsidRPr="00C458E2">
        <w:rPr>
          <w:rFonts w:ascii="Trebuchet MS" w:hAnsi="Trebuchet MS"/>
          <w:szCs w:val="22"/>
        </w:rPr>
        <w:t xml:space="preserve">AIFMs must periodically submit detailed financial statements to the </w:t>
      </w:r>
      <w:r>
        <w:rPr>
          <w:rFonts w:ascii="Trebuchet MS" w:hAnsi="Trebuchet MS"/>
          <w:szCs w:val="22"/>
        </w:rPr>
        <w:t>authority</w:t>
      </w:r>
      <w:r w:rsidRPr="00C458E2">
        <w:rPr>
          <w:rFonts w:ascii="Trebuchet MS" w:hAnsi="Trebuchet MS"/>
          <w:szCs w:val="22"/>
        </w:rPr>
        <w:t xml:space="preserve"> (in the format prescribed by the </w:t>
      </w:r>
      <w:r>
        <w:rPr>
          <w:rFonts w:ascii="Trebuchet MS" w:hAnsi="Trebuchet MS"/>
          <w:szCs w:val="22"/>
        </w:rPr>
        <w:t>NCA</w:t>
      </w:r>
      <w:r w:rsidRPr="00C458E2">
        <w:rPr>
          <w:rFonts w:ascii="Trebuchet MS" w:hAnsi="Trebuchet MS"/>
          <w:szCs w:val="22"/>
        </w:rPr>
        <w:t xml:space="preserve">). The </w:t>
      </w:r>
      <w:r>
        <w:rPr>
          <w:rFonts w:ascii="Trebuchet MS" w:hAnsi="Trebuchet MS"/>
          <w:szCs w:val="22"/>
        </w:rPr>
        <w:t>NCA</w:t>
      </w:r>
      <w:r w:rsidRPr="00C458E2">
        <w:rPr>
          <w:rFonts w:ascii="Trebuchet MS" w:hAnsi="Trebuchet MS"/>
          <w:szCs w:val="22"/>
        </w:rPr>
        <w:t xml:space="preserve"> can also, at any time, request that AIFMs provide additional (accounting) information and explanation. Such periodic statements should always be (i) complete (i.e., contain all data from the accounts and inventories on the basis of which the periodic </w:t>
      </w:r>
      <w:r w:rsidRPr="00C458E2">
        <w:rPr>
          <w:rFonts w:ascii="Trebuchet MS" w:hAnsi="Trebuchet MS"/>
          <w:szCs w:val="22"/>
        </w:rPr>
        <w:lastRenderedPageBreak/>
        <w:t>statements are drawn up) and (ii) correct (i.e., accurately reflect all data from the accounts and inventories on the basis of which the periodic statements are drawn up).</w:t>
      </w:r>
    </w:p>
    <w:p w14:paraId="0017CD34" w14:textId="77777777" w:rsidR="00706663" w:rsidRPr="00C458E2" w:rsidRDefault="00706663" w:rsidP="00706663">
      <w:pPr>
        <w:rPr>
          <w:rFonts w:ascii="Trebuchet MS" w:hAnsi="Trebuchet MS"/>
          <w:szCs w:val="22"/>
        </w:rPr>
      </w:pPr>
      <w:r w:rsidRPr="00C458E2">
        <w:rPr>
          <w:rFonts w:ascii="Trebuchet MS" w:hAnsi="Trebuchet MS"/>
          <w:szCs w:val="22"/>
        </w:rPr>
        <w:t xml:space="preserve">In </w:t>
      </w:r>
      <w:r>
        <w:rPr>
          <w:rFonts w:ascii="Trebuchet MS" w:hAnsi="Trebuchet MS"/>
          <w:szCs w:val="22"/>
        </w:rPr>
        <w:t>the feedback we have received from members, which is not meant to be exhaustive</w:t>
      </w:r>
      <w:r w:rsidRPr="00C458E2">
        <w:rPr>
          <w:rFonts w:ascii="Trebuchet MS" w:hAnsi="Trebuchet MS"/>
          <w:szCs w:val="22"/>
        </w:rPr>
        <w:t xml:space="preserve">, the main content-related overlap between gold-plated </w:t>
      </w:r>
      <w:r>
        <w:rPr>
          <w:rFonts w:ascii="Trebuchet MS" w:hAnsi="Trebuchet MS"/>
          <w:szCs w:val="22"/>
        </w:rPr>
        <w:t>national</w:t>
      </w:r>
      <w:r w:rsidRPr="00C458E2">
        <w:rPr>
          <w:rFonts w:ascii="Trebuchet MS" w:hAnsi="Trebuchet MS"/>
          <w:szCs w:val="22"/>
        </w:rPr>
        <w:t xml:space="preserve"> provisions and harmonised AIFMD provisions that we identify relates to the reporting on financial information.</w:t>
      </w:r>
    </w:p>
    <w:p w14:paraId="2C27ED7A" w14:textId="77777777" w:rsidR="00706663" w:rsidRPr="00C458E2" w:rsidRDefault="00706663" w:rsidP="00706663">
      <w:pPr>
        <w:rPr>
          <w:rFonts w:ascii="Trebuchet MS" w:hAnsi="Trebuchet MS"/>
          <w:szCs w:val="22"/>
        </w:rPr>
      </w:pPr>
      <w:r w:rsidRPr="00C458E2">
        <w:rPr>
          <w:rFonts w:ascii="Trebuchet MS" w:hAnsi="Trebuchet MS"/>
          <w:szCs w:val="22"/>
        </w:rPr>
        <w:t xml:space="preserve">Concretely, the detailed financial statements that AIFMs must periodically submit to the </w:t>
      </w:r>
      <w:r>
        <w:rPr>
          <w:rFonts w:ascii="Trebuchet MS" w:hAnsi="Trebuchet MS"/>
          <w:szCs w:val="22"/>
        </w:rPr>
        <w:t>NCA</w:t>
      </w:r>
      <w:r w:rsidRPr="00C458E2">
        <w:rPr>
          <w:rFonts w:ascii="Trebuchet MS" w:hAnsi="Trebuchet MS"/>
          <w:szCs w:val="22"/>
        </w:rPr>
        <w:t xml:space="preserve"> will to a certain extent overlap with both the (financial) information in the annual report (see art. 22 AIFMD) and the general information to be provided to the regulator (through use of EU templates ‘AIFM file 24(1)’, ‘AIF file 24(1)’, ‘AIF file 24(2)’, and/or ‘AIF file 24(4)’ – see art. 24 AIFMD). As a result, an AIFM will</w:t>
      </w:r>
      <w:r>
        <w:rPr>
          <w:rFonts w:ascii="Trebuchet MS" w:hAnsi="Trebuchet MS"/>
          <w:szCs w:val="22"/>
        </w:rPr>
        <w:t xml:space="preserve"> sometimes</w:t>
      </w:r>
      <w:r w:rsidRPr="00C458E2">
        <w:rPr>
          <w:rFonts w:ascii="Trebuchet MS" w:hAnsi="Trebuchet MS"/>
          <w:szCs w:val="22"/>
        </w:rPr>
        <w:t xml:space="preserve"> need to provide financial information at 3 different intervals and in at least 3 different formats. In addition, the </w:t>
      </w:r>
      <w:r>
        <w:rPr>
          <w:rFonts w:ascii="Trebuchet MS" w:hAnsi="Trebuchet MS"/>
          <w:szCs w:val="22"/>
        </w:rPr>
        <w:t>NCA</w:t>
      </w:r>
      <w:r w:rsidRPr="00C458E2">
        <w:rPr>
          <w:rFonts w:ascii="Trebuchet MS" w:hAnsi="Trebuchet MS"/>
          <w:szCs w:val="22"/>
        </w:rPr>
        <w:t xml:space="preserve"> can </w:t>
      </w:r>
      <w:r>
        <w:rPr>
          <w:rFonts w:ascii="Trebuchet MS" w:hAnsi="Trebuchet MS"/>
          <w:szCs w:val="22"/>
        </w:rPr>
        <w:t xml:space="preserve">sometimes, </w:t>
      </w:r>
      <w:r w:rsidRPr="00C458E2">
        <w:rPr>
          <w:rFonts w:ascii="Trebuchet MS" w:hAnsi="Trebuchet MS"/>
          <w:szCs w:val="22"/>
        </w:rPr>
        <w:t>always at its own discretion</w:t>
      </w:r>
      <w:r>
        <w:rPr>
          <w:rFonts w:ascii="Trebuchet MS" w:hAnsi="Trebuchet MS"/>
          <w:szCs w:val="22"/>
        </w:rPr>
        <w:t>,</w:t>
      </w:r>
      <w:r w:rsidRPr="00C458E2">
        <w:rPr>
          <w:rFonts w:ascii="Trebuchet MS" w:hAnsi="Trebuchet MS"/>
          <w:szCs w:val="22"/>
        </w:rPr>
        <w:t xml:space="preserve"> ask for additional information from the AIFM.</w:t>
      </w:r>
    </w:p>
    <w:p w14:paraId="12CE33E5" w14:textId="321D5EBB" w:rsidR="00706663" w:rsidRPr="00C458E2" w:rsidRDefault="00706663" w:rsidP="00706663">
      <w:pPr>
        <w:rPr>
          <w:rFonts w:ascii="Trebuchet MS" w:hAnsi="Trebuchet MS"/>
          <w:szCs w:val="22"/>
        </w:rPr>
      </w:pPr>
      <w:r>
        <w:rPr>
          <w:rFonts w:ascii="Trebuchet MS" w:hAnsi="Trebuchet MS"/>
          <w:szCs w:val="22"/>
        </w:rPr>
        <w:t>S</w:t>
      </w:r>
      <w:r w:rsidRPr="00C458E2">
        <w:rPr>
          <w:rFonts w:ascii="Trebuchet MS" w:hAnsi="Trebuchet MS"/>
          <w:szCs w:val="22"/>
        </w:rPr>
        <w:t xml:space="preserve">treamlining of reporting topics (at least at national level) </w:t>
      </w:r>
      <w:r>
        <w:rPr>
          <w:rFonts w:ascii="Trebuchet MS" w:hAnsi="Trebuchet MS"/>
          <w:szCs w:val="22"/>
        </w:rPr>
        <w:t>could</w:t>
      </w:r>
      <w:r w:rsidRPr="00C458E2">
        <w:rPr>
          <w:rFonts w:ascii="Trebuchet MS" w:hAnsi="Trebuchet MS"/>
          <w:szCs w:val="22"/>
        </w:rPr>
        <w:t xml:space="preserve"> have a positive effect on the regulatory compliance burden of AIFMs. On the contrary, adding additional layers of reporting on an EU level, without removing the existing overlap on national level, will only add to the existing complexity</w:t>
      </w:r>
      <w:r>
        <w:rPr>
          <w:rFonts w:ascii="Trebuchet MS" w:hAnsi="Trebuchet MS"/>
          <w:szCs w:val="22"/>
        </w:rPr>
        <w:t>.</w:t>
      </w:r>
    </w:p>
    <w:permEnd w:id="1623937441"/>
    <w:p w14:paraId="41750AA3" w14:textId="77777777"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2C96F19A" w14:textId="3DDF092D" w:rsidR="00706663" w:rsidRPr="00D97C0B" w:rsidRDefault="00706663" w:rsidP="00706663">
      <w:pPr>
        <w:rPr>
          <w:rFonts w:ascii="Trebuchet MS" w:hAnsi="Trebuchet MS"/>
          <w:szCs w:val="22"/>
        </w:rPr>
      </w:pPr>
      <w:permStart w:id="870786054" w:edGrp="everyone"/>
      <w:r w:rsidRPr="00D97C0B">
        <w:rPr>
          <w:rFonts w:ascii="Trebuchet MS" w:hAnsi="Trebuchet MS"/>
          <w:szCs w:val="22"/>
        </w:rPr>
        <w:t xml:space="preserve">Yes, </w:t>
      </w:r>
      <w:r w:rsidRPr="00D97C0B">
        <w:rPr>
          <w:rFonts w:ascii="Trebuchet MS" w:hAnsi="Trebuchet MS"/>
          <w:szCs w:val="22"/>
          <w:u w:val="single"/>
        </w:rPr>
        <w:t>but with significant caveats</w:t>
      </w:r>
      <w:r w:rsidR="00EF5A37">
        <w:rPr>
          <w:rFonts w:ascii="Trebuchet MS" w:hAnsi="Trebuchet MS"/>
          <w:szCs w:val="22"/>
          <w:u w:val="single"/>
        </w:rPr>
        <w:t xml:space="preserve"> on </w:t>
      </w:r>
      <w:r w:rsidRPr="00D97C0B">
        <w:rPr>
          <w:rFonts w:ascii="Trebuchet MS" w:hAnsi="Trebuchet MS"/>
          <w:szCs w:val="22"/>
          <w:u w:val="single"/>
        </w:rPr>
        <w:t>how this objective could be achieved</w:t>
      </w:r>
      <w:r w:rsidRPr="00D97C0B">
        <w:rPr>
          <w:rFonts w:ascii="Trebuchet MS" w:hAnsi="Trebuchet MS"/>
          <w:szCs w:val="22"/>
        </w:rPr>
        <w:t xml:space="preserve">. </w:t>
      </w:r>
    </w:p>
    <w:p w14:paraId="35BF7670" w14:textId="77777777" w:rsidR="00706663" w:rsidRDefault="00706663" w:rsidP="00706663">
      <w:pPr>
        <w:rPr>
          <w:rFonts w:ascii="Trebuchet MS" w:hAnsi="Trebuchet MS"/>
          <w:szCs w:val="22"/>
        </w:rPr>
      </w:pPr>
      <w:r w:rsidRPr="00D97C0B">
        <w:rPr>
          <w:rFonts w:ascii="Trebuchet MS" w:hAnsi="Trebuchet MS"/>
          <w:szCs w:val="22"/>
        </w:rPr>
        <w:t xml:space="preserve">Lowering the number of fields and increasing interoperability between national and EU reporting is a laudable objective. Yet, an integrated reporting model would have to be sufficiently well-designed to ensure that both the number of reporting fields and the frequency of reporting do not increase for certain types of managers. </w:t>
      </w:r>
    </w:p>
    <w:p w14:paraId="0D2F8A32" w14:textId="77777777" w:rsidR="00706663" w:rsidRPr="007C3AD4" w:rsidRDefault="00706663" w:rsidP="00706663">
      <w:pPr>
        <w:rPr>
          <w:rFonts w:ascii="Trebuchet MS" w:hAnsi="Trebuchet MS"/>
          <w:szCs w:val="22"/>
        </w:rPr>
      </w:pPr>
      <w:r>
        <w:rPr>
          <w:rFonts w:ascii="Trebuchet MS" w:hAnsi="Trebuchet MS"/>
          <w:szCs w:val="22"/>
        </w:rPr>
        <w:t>A</w:t>
      </w:r>
      <w:r w:rsidRPr="001621E0">
        <w:rPr>
          <w:rFonts w:ascii="Trebuchet MS" w:hAnsi="Trebuchet MS"/>
          <w:szCs w:val="22"/>
        </w:rPr>
        <w:t xml:space="preserve"> </w:t>
      </w:r>
      <w:r w:rsidRPr="006B6C08">
        <w:rPr>
          <w:rFonts w:ascii="Trebuchet MS" w:hAnsi="Trebuchet MS"/>
          <w:b/>
          <w:bCs/>
          <w:szCs w:val="22"/>
        </w:rPr>
        <w:t>UCITS/ AIFMD integrated report without appropriate caveats may result in more complexity than clarity</w:t>
      </w:r>
      <w:r w:rsidRPr="001621E0">
        <w:rPr>
          <w:rFonts w:ascii="Trebuchet MS" w:hAnsi="Trebuchet MS"/>
          <w:szCs w:val="22"/>
        </w:rPr>
        <w:t xml:space="preserve">, even for members who manage both UCITS and AIFs. </w:t>
      </w:r>
      <w:r>
        <w:rPr>
          <w:rFonts w:ascii="Trebuchet MS" w:hAnsi="Trebuchet MS"/>
          <w:szCs w:val="22"/>
        </w:rPr>
        <w:t>I</w:t>
      </w:r>
      <w:r w:rsidRPr="001621E0">
        <w:rPr>
          <w:rFonts w:ascii="Trebuchet MS" w:hAnsi="Trebuchet MS"/>
          <w:szCs w:val="22"/>
        </w:rPr>
        <w:t xml:space="preserve">ssues could stem from an uplift of reporting requirements for private equity AIF managers if they were required to report data fields similar to those of UCITS managers; they could also stem on the NCA side at the point of review, particularly with respect to interpreting reports on similar concepts (e.g. leverage) </w:t>
      </w:r>
      <w:r w:rsidRPr="001621E0">
        <w:rPr>
          <w:rFonts w:ascii="Trebuchet MS" w:hAnsi="Trebuchet MS"/>
          <w:szCs w:val="22"/>
        </w:rPr>
        <w:lastRenderedPageBreak/>
        <w:t xml:space="preserve">and not respecting the fact that those have been calculated using separate methodologies under different frameworks (i.e. leverage under AIFMD versus under that under UCITS). </w:t>
      </w:r>
    </w:p>
    <w:p w14:paraId="73D55C07" w14:textId="77777777" w:rsidR="00706663" w:rsidRPr="00D97C0B" w:rsidRDefault="00706663" w:rsidP="00706663">
      <w:pPr>
        <w:rPr>
          <w:rFonts w:ascii="Trebuchet MS" w:hAnsi="Trebuchet MS"/>
          <w:szCs w:val="22"/>
        </w:rPr>
      </w:pPr>
      <w:r>
        <w:rPr>
          <w:rFonts w:ascii="Trebuchet MS" w:hAnsi="Trebuchet MS"/>
          <w:szCs w:val="22"/>
        </w:rPr>
        <w:t>T</w:t>
      </w:r>
      <w:r w:rsidRPr="00D97C0B">
        <w:rPr>
          <w:rFonts w:ascii="Trebuchet MS" w:hAnsi="Trebuchet MS"/>
          <w:szCs w:val="22"/>
        </w:rPr>
        <w:t xml:space="preserve">he main obstacle we identify, as representatives of </w:t>
      </w:r>
      <w:r>
        <w:rPr>
          <w:rFonts w:ascii="Trebuchet MS" w:hAnsi="Trebuchet MS"/>
          <w:szCs w:val="22"/>
        </w:rPr>
        <w:t>private equity</w:t>
      </w:r>
      <w:r w:rsidRPr="00D97C0B">
        <w:rPr>
          <w:rFonts w:ascii="Trebuchet MS" w:hAnsi="Trebuchet MS"/>
          <w:szCs w:val="22"/>
        </w:rPr>
        <w:t xml:space="preserve"> funds, is the </w:t>
      </w:r>
      <w:r w:rsidRPr="007C3AD4">
        <w:rPr>
          <w:rFonts w:ascii="Trebuchet MS" w:hAnsi="Trebuchet MS"/>
          <w:b/>
          <w:bCs/>
          <w:szCs w:val="22"/>
        </w:rPr>
        <w:t>difficulty in setting up a common template for fund managers whose business model is effectively completely different</w:t>
      </w:r>
      <w:r w:rsidRPr="00D97C0B">
        <w:rPr>
          <w:rFonts w:ascii="Trebuchet MS" w:hAnsi="Trebuchet MS"/>
          <w:szCs w:val="22"/>
        </w:rPr>
        <w:t xml:space="preserve">: UCITS and private equity funds have in practice </w:t>
      </w:r>
      <w:r>
        <w:rPr>
          <w:rFonts w:ascii="Trebuchet MS" w:hAnsi="Trebuchet MS"/>
          <w:szCs w:val="22"/>
        </w:rPr>
        <w:t xml:space="preserve">many divergences </w:t>
      </w:r>
      <w:r w:rsidRPr="00D97C0B">
        <w:rPr>
          <w:rFonts w:ascii="Trebuchet MS" w:hAnsi="Trebuchet MS"/>
          <w:szCs w:val="22"/>
        </w:rPr>
        <w:t>and joint data fields could lead to much confusion for managers</w:t>
      </w:r>
      <w:r>
        <w:rPr>
          <w:rFonts w:ascii="Trebuchet MS" w:hAnsi="Trebuchet MS"/>
          <w:szCs w:val="22"/>
        </w:rPr>
        <w:t xml:space="preserve"> -</w:t>
      </w:r>
      <w:r w:rsidRPr="00D97C0B">
        <w:rPr>
          <w:rFonts w:ascii="Trebuchet MS" w:hAnsi="Trebuchet MS"/>
          <w:szCs w:val="22"/>
        </w:rPr>
        <w:t xml:space="preserve"> simply because data fields do not really correspond to market realities. This problem already exists with</w:t>
      </w:r>
      <w:r>
        <w:rPr>
          <w:rFonts w:ascii="Trebuchet MS" w:hAnsi="Trebuchet MS"/>
          <w:szCs w:val="22"/>
        </w:rPr>
        <w:t xml:space="preserve"> existing, general</w:t>
      </w:r>
      <w:r w:rsidRPr="00D97C0B">
        <w:rPr>
          <w:rFonts w:ascii="Trebuchet MS" w:hAnsi="Trebuchet MS"/>
          <w:szCs w:val="22"/>
        </w:rPr>
        <w:t xml:space="preserve"> AIFMD reporting fields: it could increase exponentially would the two regimes be merged.  </w:t>
      </w:r>
    </w:p>
    <w:p w14:paraId="5B387DC4" w14:textId="77777777" w:rsidR="00706663" w:rsidRDefault="00706663" w:rsidP="00706663">
      <w:pPr>
        <w:rPr>
          <w:rFonts w:ascii="Trebuchet MS" w:hAnsi="Trebuchet MS"/>
          <w:szCs w:val="22"/>
        </w:rPr>
      </w:pPr>
      <w:r>
        <w:rPr>
          <w:rFonts w:ascii="Trebuchet MS" w:hAnsi="Trebuchet MS"/>
          <w:szCs w:val="22"/>
        </w:rPr>
        <w:t>Indeed, t</w:t>
      </w:r>
      <w:r w:rsidRPr="001621E0">
        <w:rPr>
          <w:rFonts w:ascii="Trebuchet MS" w:hAnsi="Trebuchet MS"/>
          <w:szCs w:val="22"/>
        </w:rPr>
        <w:t xml:space="preserve">here are </w:t>
      </w:r>
      <w:bookmarkStart w:id="11" w:name="_Hlk208912984"/>
      <w:r w:rsidRPr="001621E0">
        <w:rPr>
          <w:rFonts w:ascii="Trebuchet MS" w:hAnsi="Trebuchet MS"/>
          <w:szCs w:val="22"/>
        </w:rPr>
        <w:t xml:space="preserve">a </w:t>
      </w:r>
      <w:r w:rsidRPr="006B6C08">
        <w:rPr>
          <w:rFonts w:ascii="Trebuchet MS" w:hAnsi="Trebuchet MS"/>
          <w:b/>
          <w:bCs/>
          <w:szCs w:val="22"/>
        </w:rPr>
        <w:t>number of UCITS-typical fields that will not make sense in the context of a private equity fund</w:t>
      </w:r>
      <w:bookmarkEnd w:id="11"/>
      <w:r>
        <w:rPr>
          <w:rFonts w:ascii="Trebuchet MS" w:hAnsi="Trebuchet MS"/>
          <w:szCs w:val="22"/>
        </w:rPr>
        <w:t xml:space="preserve">. This is for example the case of </w:t>
      </w:r>
      <w:r w:rsidRPr="001621E0">
        <w:rPr>
          <w:rFonts w:ascii="Trebuchet MS" w:hAnsi="Trebuchet MS"/>
          <w:szCs w:val="22"/>
        </w:rPr>
        <w:t>data around securities lending and repos</w:t>
      </w:r>
      <w:r>
        <w:rPr>
          <w:rFonts w:ascii="Trebuchet MS" w:hAnsi="Trebuchet MS"/>
          <w:szCs w:val="22"/>
        </w:rPr>
        <w:t>. More broadly</w:t>
      </w:r>
      <w:r w:rsidRPr="001621E0">
        <w:rPr>
          <w:rFonts w:ascii="Trebuchet MS" w:hAnsi="Trebuchet MS"/>
          <w:szCs w:val="22"/>
        </w:rPr>
        <w:t xml:space="preserve">, any reporting field that is based on the idea of a predominantly liquid portfolio of transferable securities would be invalid for a long-term fund such as private equity, real estate or infrastructure. Other measures which will not sit well with a private equity fund will be measures such as </w:t>
      </w:r>
      <w:proofErr w:type="spellStart"/>
      <w:r w:rsidRPr="001621E0">
        <w:rPr>
          <w:rFonts w:ascii="Trebuchet MS" w:hAnsi="Trebuchet MS"/>
          <w:szCs w:val="22"/>
        </w:rPr>
        <w:t>VaR</w:t>
      </w:r>
      <w:proofErr w:type="spellEnd"/>
      <w:r w:rsidRPr="001621E0">
        <w:rPr>
          <w:rFonts w:ascii="Trebuchet MS" w:hAnsi="Trebuchet MS"/>
          <w:szCs w:val="22"/>
        </w:rPr>
        <w:t xml:space="preserve"> limits and back testing against </w:t>
      </w:r>
      <w:proofErr w:type="spellStart"/>
      <w:r w:rsidRPr="001621E0">
        <w:rPr>
          <w:rFonts w:ascii="Trebuchet MS" w:hAnsi="Trebuchet MS"/>
          <w:szCs w:val="22"/>
        </w:rPr>
        <w:t>VaR</w:t>
      </w:r>
      <w:proofErr w:type="spellEnd"/>
      <w:r w:rsidRPr="001621E0">
        <w:rPr>
          <w:rFonts w:ascii="Trebuchet MS" w:hAnsi="Trebuchet MS"/>
          <w:szCs w:val="22"/>
        </w:rPr>
        <w:t xml:space="preserve"> methodology – as private equity managers will, for economic reasons rather than for comfort, use measures like Invested Capital at Risk (</w:t>
      </w:r>
      <w:proofErr w:type="spellStart"/>
      <w:r w:rsidRPr="001621E0">
        <w:rPr>
          <w:rFonts w:ascii="Trebuchet MS" w:hAnsi="Trebuchet MS"/>
          <w:szCs w:val="22"/>
        </w:rPr>
        <w:t>iCAR</w:t>
      </w:r>
      <w:proofErr w:type="spellEnd"/>
      <w:r w:rsidRPr="001621E0">
        <w:rPr>
          <w:rFonts w:ascii="Trebuchet MS" w:hAnsi="Trebuchet MS"/>
          <w:szCs w:val="22"/>
        </w:rPr>
        <w:t>). Mathematical stress testing of the portfolio also makes considerably less sense for private equity funds (given the long-term nature of the investments) and the liquidity risk measures are likely to look very different.</w:t>
      </w:r>
    </w:p>
    <w:p w14:paraId="213DA08C" w14:textId="77777777" w:rsidR="00706663" w:rsidRPr="001621E0" w:rsidRDefault="00706663" w:rsidP="00706663">
      <w:pPr>
        <w:rPr>
          <w:rFonts w:ascii="Trebuchet MS" w:hAnsi="Trebuchet MS"/>
          <w:szCs w:val="22"/>
        </w:rPr>
      </w:pPr>
      <w:r w:rsidRPr="00D97C0B">
        <w:rPr>
          <w:rFonts w:ascii="Trebuchet MS" w:hAnsi="Trebuchet MS"/>
          <w:szCs w:val="22"/>
        </w:rPr>
        <w:t xml:space="preserve">As a reminder, private equity is an illiquid asset class, </w:t>
      </w:r>
      <w:r>
        <w:rPr>
          <w:rFonts w:ascii="Trebuchet MS" w:hAnsi="Trebuchet MS"/>
          <w:szCs w:val="22"/>
        </w:rPr>
        <w:t>whose funds are taking direct shares in businesses</w:t>
      </w:r>
      <w:r w:rsidRPr="00D97C0B">
        <w:rPr>
          <w:rFonts w:ascii="Trebuchet MS" w:hAnsi="Trebuchet MS"/>
          <w:szCs w:val="22"/>
        </w:rPr>
        <w:t>. The underlying assets of the fund are unquoted, operating companies with their own directors, i.e. there is no ready-made price (as with financial instruments such as publicly quoted equities) nor a standard formula for calculating prices (as with OTC derivatives). Because private equity valuations must be sound, for the entire industry to function appropriately, time is required to assess these</w:t>
      </w:r>
      <w:r>
        <w:rPr>
          <w:rFonts w:ascii="Trebuchet MS" w:hAnsi="Trebuchet MS"/>
          <w:szCs w:val="22"/>
        </w:rPr>
        <w:t xml:space="preserve"> in a proper manner</w:t>
      </w:r>
      <w:r w:rsidRPr="00D97C0B">
        <w:rPr>
          <w:rFonts w:ascii="Trebuchet MS" w:hAnsi="Trebuchet MS"/>
          <w:szCs w:val="22"/>
        </w:rPr>
        <w:t xml:space="preserve">. Private equity valuations are typically done quarterly 90 and 120 days after the period has ended, respectively. </w:t>
      </w:r>
      <w:r>
        <w:rPr>
          <w:rFonts w:ascii="Trebuchet MS" w:hAnsi="Trebuchet MS"/>
          <w:szCs w:val="22"/>
        </w:rPr>
        <w:t xml:space="preserve">The quality of valuations is the quality of the external expertise to calculate these valuations, not the ability to capture public sources of information. </w:t>
      </w:r>
    </w:p>
    <w:p w14:paraId="5444D441" w14:textId="77777777" w:rsidR="00706663" w:rsidRDefault="00706663" w:rsidP="00706663">
      <w:pPr>
        <w:rPr>
          <w:rFonts w:ascii="Trebuchet MS" w:hAnsi="Trebuchet MS"/>
          <w:szCs w:val="22"/>
        </w:rPr>
      </w:pPr>
      <w:r>
        <w:rPr>
          <w:rFonts w:ascii="Trebuchet MS" w:hAnsi="Trebuchet MS"/>
          <w:szCs w:val="22"/>
        </w:rPr>
        <w:t xml:space="preserve">In that context, harmonisation of frameworks is </w:t>
      </w:r>
      <w:r w:rsidRPr="00DD344F">
        <w:rPr>
          <w:rFonts w:ascii="Trebuchet MS" w:hAnsi="Trebuchet MS"/>
          <w:b/>
          <w:bCs/>
          <w:szCs w:val="22"/>
        </w:rPr>
        <w:t>unlikely to be of value for the industry</w:t>
      </w:r>
      <w:r>
        <w:rPr>
          <w:rFonts w:ascii="Trebuchet MS" w:hAnsi="Trebuchet MS"/>
          <w:szCs w:val="22"/>
        </w:rPr>
        <w:t>. E</w:t>
      </w:r>
      <w:r w:rsidRPr="001621E0">
        <w:rPr>
          <w:rFonts w:ascii="Trebuchet MS" w:hAnsi="Trebuchet MS"/>
          <w:szCs w:val="22"/>
        </w:rPr>
        <w:t xml:space="preserve">ven for </w:t>
      </w:r>
      <w:r>
        <w:rPr>
          <w:rFonts w:ascii="Trebuchet MS" w:hAnsi="Trebuchet MS"/>
          <w:szCs w:val="22"/>
        </w:rPr>
        <w:t>managers</w:t>
      </w:r>
      <w:r w:rsidRPr="001621E0">
        <w:rPr>
          <w:rFonts w:ascii="Trebuchet MS" w:hAnsi="Trebuchet MS"/>
          <w:szCs w:val="22"/>
        </w:rPr>
        <w:t xml:space="preserve"> who manage both AIFs and UCITS</w:t>
      </w:r>
      <w:r>
        <w:rPr>
          <w:rFonts w:ascii="Trebuchet MS" w:hAnsi="Trebuchet MS"/>
          <w:szCs w:val="22"/>
        </w:rPr>
        <w:t>,</w:t>
      </w:r>
      <w:r w:rsidRPr="001621E0">
        <w:rPr>
          <w:rFonts w:ascii="Trebuchet MS" w:hAnsi="Trebuchet MS"/>
          <w:szCs w:val="22"/>
        </w:rPr>
        <w:t xml:space="preserve"> the </w:t>
      </w:r>
      <w:r w:rsidRPr="006B6C08">
        <w:rPr>
          <w:rFonts w:ascii="Trebuchet MS" w:hAnsi="Trebuchet MS"/>
          <w:b/>
          <w:bCs/>
          <w:szCs w:val="22"/>
        </w:rPr>
        <w:t>benefits are likely to be superficial</w:t>
      </w:r>
      <w:r w:rsidRPr="001621E0">
        <w:rPr>
          <w:rFonts w:ascii="Trebuchet MS" w:hAnsi="Trebuchet MS"/>
          <w:szCs w:val="22"/>
        </w:rPr>
        <w:t xml:space="preserve">, as they will </w:t>
      </w:r>
      <w:r>
        <w:rPr>
          <w:rFonts w:ascii="Trebuchet MS" w:hAnsi="Trebuchet MS"/>
          <w:szCs w:val="22"/>
        </w:rPr>
        <w:t xml:space="preserve">in any case </w:t>
      </w:r>
      <w:r w:rsidRPr="001621E0">
        <w:rPr>
          <w:rFonts w:ascii="Trebuchet MS" w:hAnsi="Trebuchet MS"/>
          <w:szCs w:val="22"/>
        </w:rPr>
        <w:t>still need to respond in turn to different sets of questions in respect of each AIF and UCITS, whether it</w:t>
      </w:r>
      <w:r>
        <w:rPr>
          <w:rFonts w:ascii="Trebuchet MS" w:hAnsi="Trebuchet MS"/>
          <w:szCs w:val="22"/>
        </w:rPr>
        <w:t xml:space="preserve"> i</w:t>
      </w:r>
      <w:r w:rsidRPr="001621E0">
        <w:rPr>
          <w:rFonts w:ascii="Trebuchet MS" w:hAnsi="Trebuchet MS"/>
          <w:szCs w:val="22"/>
        </w:rPr>
        <w:t xml:space="preserve">s via different sections, tabs or modules of the integrated report, </w:t>
      </w:r>
      <w:r>
        <w:rPr>
          <w:rFonts w:ascii="Trebuchet MS" w:hAnsi="Trebuchet MS"/>
          <w:szCs w:val="22"/>
        </w:rPr>
        <w:t>an exercise that will</w:t>
      </w:r>
      <w:r w:rsidRPr="001621E0">
        <w:rPr>
          <w:rFonts w:ascii="Trebuchet MS" w:hAnsi="Trebuchet MS"/>
          <w:szCs w:val="22"/>
        </w:rPr>
        <w:t xml:space="preserve"> not </w:t>
      </w:r>
      <w:r>
        <w:rPr>
          <w:rFonts w:ascii="Trebuchet MS" w:hAnsi="Trebuchet MS"/>
          <w:szCs w:val="22"/>
        </w:rPr>
        <w:t xml:space="preserve">be </w:t>
      </w:r>
      <w:r w:rsidRPr="001621E0">
        <w:rPr>
          <w:rFonts w:ascii="Trebuchet MS" w:hAnsi="Trebuchet MS"/>
          <w:szCs w:val="22"/>
        </w:rPr>
        <w:t>tha</w:t>
      </w:r>
      <w:r>
        <w:rPr>
          <w:rFonts w:ascii="Trebuchet MS" w:hAnsi="Trebuchet MS"/>
          <w:szCs w:val="22"/>
        </w:rPr>
        <w:t>t</w:t>
      </w:r>
      <w:r w:rsidRPr="001621E0">
        <w:rPr>
          <w:rFonts w:ascii="Trebuchet MS" w:hAnsi="Trebuchet MS"/>
          <w:szCs w:val="22"/>
        </w:rPr>
        <w:t xml:space="preserve"> different</w:t>
      </w:r>
      <w:r>
        <w:rPr>
          <w:rFonts w:ascii="Trebuchet MS" w:hAnsi="Trebuchet MS"/>
          <w:szCs w:val="22"/>
        </w:rPr>
        <w:t xml:space="preserve"> in practice</w:t>
      </w:r>
      <w:r w:rsidRPr="001621E0">
        <w:rPr>
          <w:rFonts w:ascii="Trebuchet MS" w:hAnsi="Trebuchet MS"/>
          <w:szCs w:val="22"/>
        </w:rPr>
        <w:t xml:space="preserve"> to reporting two sets of reports under the existing framework. The benefits may largely lie for the NCAs who may be able to modernise the readability of the integrated report (through AI, for example). This may in itself be a</w:t>
      </w:r>
      <w:r>
        <w:rPr>
          <w:rFonts w:ascii="Trebuchet MS" w:hAnsi="Trebuchet MS"/>
          <w:szCs w:val="22"/>
        </w:rPr>
        <w:t>n obvious</w:t>
      </w:r>
      <w:r w:rsidRPr="001621E0">
        <w:rPr>
          <w:rFonts w:ascii="Trebuchet MS" w:hAnsi="Trebuchet MS"/>
          <w:szCs w:val="22"/>
        </w:rPr>
        <w:t xml:space="preserve"> goal for ESMA (and for the NCAs) but it should</w:t>
      </w:r>
      <w:r>
        <w:rPr>
          <w:rFonts w:ascii="Trebuchet MS" w:hAnsi="Trebuchet MS"/>
          <w:szCs w:val="22"/>
        </w:rPr>
        <w:t xml:space="preserve"> hence</w:t>
      </w:r>
      <w:r w:rsidRPr="001621E0">
        <w:rPr>
          <w:rFonts w:ascii="Trebuchet MS" w:hAnsi="Trebuchet MS"/>
          <w:szCs w:val="22"/>
        </w:rPr>
        <w:t xml:space="preserve"> not be presented as a regulatory simplification</w:t>
      </w:r>
      <w:r>
        <w:rPr>
          <w:rFonts w:ascii="Trebuchet MS" w:hAnsi="Trebuchet MS"/>
          <w:szCs w:val="22"/>
        </w:rPr>
        <w:t xml:space="preserve">. </w:t>
      </w:r>
      <w:r w:rsidRPr="001621E0">
        <w:rPr>
          <w:rFonts w:ascii="Trebuchet MS" w:hAnsi="Trebuchet MS"/>
          <w:szCs w:val="22"/>
        </w:rPr>
        <w:t xml:space="preserve"> </w:t>
      </w:r>
    </w:p>
    <w:p w14:paraId="6F8FA0B2" w14:textId="77777777" w:rsidR="00706663" w:rsidRDefault="00706663" w:rsidP="00706663">
      <w:pPr>
        <w:rPr>
          <w:rFonts w:ascii="Trebuchet MS" w:hAnsi="Trebuchet MS"/>
          <w:szCs w:val="22"/>
        </w:rPr>
      </w:pPr>
      <w:r>
        <w:rPr>
          <w:rFonts w:ascii="Trebuchet MS" w:hAnsi="Trebuchet MS"/>
          <w:szCs w:val="22"/>
        </w:rPr>
        <w:lastRenderedPageBreak/>
        <w:t>From an industry perspective</w:t>
      </w:r>
      <w:r w:rsidRPr="001621E0">
        <w:rPr>
          <w:rFonts w:ascii="Trebuchet MS" w:hAnsi="Trebuchet MS"/>
          <w:szCs w:val="22"/>
        </w:rPr>
        <w:t xml:space="preserve">, there may </w:t>
      </w:r>
      <w:r>
        <w:rPr>
          <w:rFonts w:ascii="Trebuchet MS" w:hAnsi="Trebuchet MS"/>
          <w:szCs w:val="22"/>
        </w:rPr>
        <w:t xml:space="preserve">simply </w:t>
      </w:r>
      <w:r w:rsidRPr="001621E0">
        <w:rPr>
          <w:rFonts w:ascii="Trebuchet MS" w:hAnsi="Trebuchet MS"/>
          <w:szCs w:val="22"/>
        </w:rPr>
        <w:t>be a better case for reducing duplicative reporting by integrating AIFMD and ECB statistical reporting</w:t>
      </w:r>
      <w:r>
        <w:rPr>
          <w:rFonts w:ascii="Trebuchet MS" w:hAnsi="Trebuchet MS"/>
          <w:szCs w:val="22"/>
        </w:rPr>
        <w:t xml:space="preserve"> than merging AIFMD and UCITS data. </w:t>
      </w:r>
    </w:p>
    <w:p w14:paraId="7414B9C2" w14:textId="77777777" w:rsidR="00706663" w:rsidRPr="00D97C0B" w:rsidRDefault="00706663" w:rsidP="00706663">
      <w:pPr>
        <w:rPr>
          <w:rFonts w:ascii="Trebuchet MS" w:hAnsi="Trebuchet MS"/>
          <w:szCs w:val="22"/>
        </w:rPr>
      </w:pPr>
      <w:r w:rsidRPr="00D97C0B">
        <w:rPr>
          <w:rFonts w:ascii="Trebuchet MS" w:hAnsi="Trebuchet MS"/>
          <w:szCs w:val="22"/>
        </w:rPr>
        <w:t xml:space="preserve">In light of this, ESMA </w:t>
      </w:r>
      <w:r>
        <w:rPr>
          <w:rFonts w:ascii="Trebuchet MS" w:hAnsi="Trebuchet MS"/>
          <w:szCs w:val="22"/>
        </w:rPr>
        <w:t>sh</w:t>
      </w:r>
      <w:r w:rsidRPr="00D97C0B">
        <w:rPr>
          <w:rFonts w:ascii="Trebuchet MS" w:hAnsi="Trebuchet MS"/>
          <w:szCs w:val="22"/>
        </w:rPr>
        <w:t>ould first and foremost focus on the exercise to determine which reporting elements are of high value (as expressed in section 5.1. of the consultation) not only from a broader perspective, but asset class by asset class, with a particular focus on assets classes diverging the most from the norm.</w:t>
      </w:r>
    </w:p>
    <w:p w14:paraId="5A27334C" w14:textId="77777777" w:rsidR="00706663" w:rsidRPr="00D97C0B" w:rsidRDefault="00706663" w:rsidP="00706663">
      <w:pPr>
        <w:rPr>
          <w:rFonts w:ascii="Trebuchet MS" w:hAnsi="Trebuchet MS"/>
          <w:szCs w:val="22"/>
        </w:rPr>
      </w:pPr>
      <w:r w:rsidRPr="00D97C0B">
        <w:rPr>
          <w:rFonts w:ascii="Trebuchet MS" w:hAnsi="Trebuchet MS"/>
          <w:szCs w:val="22"/>
        </w:rPr>
        <w:t xml:space="preserve">ESMA could then consider: </w:t>
      </w:r>
    </w:p>
    <w:p w14:paraId="2CE7D323" w14:textId="77777777" w:rsidR="00706663" w:rsidRPr="00D97C0B" w:rsidRDefault="00706663" w:rsidP="00706663">
      <w:pPr>
        <w:pStyle w:val="ListParagraph"/>
        <w:numPr>
          <w:ilvl w:val="0"/>
          <w:numId w:val="38"/>
        </w:numPr>
        <w:spacing w:after="160" w:line="278" w:lineRule="auto"/>
        <w:rPr>
          <w:rFonts w:ascii="Trebuchet MS" w:hAnsi="Trebuchet MS"/>
          <w:szCs w:val="22"/>
        </w:rPr>
      </w:pPr>
      <w:r w:rsidRPr="00D97C0B">
        <w:rPr>
          <w:rFonts w:ascii="Trebuchet MS" w:hAnsi="Trebuchet MS"/>
          <w:szCs w:val="22"/>
        </w:rPr>
        <w:t>which fields are effectively always relevant</w:t>
      </w:r>
    </w:p>
    <w:p w14:paraId="549BA81A" w14:textId="77777777" w:rsidR="00706663" w:rsidRPr="00D97C0B" w:rsidRDefault="00706663" w:rsidP="00706663">
      <w:pPr>
        <w:pStyle w:val="ListParagraph"/>
        <w:numPr>
          <w:ilvl w:val="0"/>
          <w:numId w:val="38"/>
        </w:numPr>
        <w:spacing w:after="160" w:line="278" w:lineRule="auto"/>
        <w:rPr>
          <w:rFonts w:ascii="Trebuchet MS" w:hAnsi="Trebuchet MS"/>
          <w:szCs w:val="22"/>
        </w:rPr>
      </w:pPr>
      <w:r w:rsidRPr="00D97C0B">
        <w:rPr>
          <w:rFonts w:ascii="Trebuchet MS" w:hAnsi="Trebuchet MS"/>
          <w:szCs w:val="22"/>
        </w:rPr>
        <w:t xml:space="preserve">which fields are </w:t>
      </w:r>
      <w:r w:rsidRPr="007C3AD4">
        <w:rPr>
          <w:rFonts w:ascii="Trebuchet MS" w:hAnsi="Trebuchet MS"/>
          <w:b/>
          <w:bCs/>
          <w:szCs w:val="22"/>
        </w:rPr>
        <w:t>similar but can create confusion</w:t>
      </w:r>
      <w:r w:rsidRPr="00D97C0B">
        <w:rPr>
          <w:rFonts w:ascii="Trebuchet MS" w:hAnsi="Trebuchet MS"/>
          <w:szCs w:val="22"/>
        </w:rPr>
        <w:t>, both from a semantics but also practical perspective</w:t>
      </w:r>
      <w:r>
        <w:rPr>
          <w:rFonts w:ascii="Trebuchet MS" w:hAnsi="Trebuchet MS"/>
          <w:szCs w:val="22"/>
        </w:rPr>
        <w:t xml:space="preserve"> (typically leverage reporting)</w:t>
      </w:r>
    </w:p>
    <w:p w14:paraId="728CC4BC" w14:textId="77777777" w:rsidR="00706663" w:rsidRPr="00D97C0B" w:rsidRDefault="00706663" w:rsidP="00706663">
      <w:pPr>
        <w:pStyle w:val="ListParagraph"/>
        <w:numPr>
          <w:ilvl w:val="0"/>
          <w:numId w:val="38"/>
        </w:numPr>
        <w:spacing w:after="160" w:line="278" w:lineRule="auto"/>
        <w:rPr>
          <w:rFonts w:ascii="Trebuchet MS" w:hAnsi="Trebuchet MS"/>
          <w:szCs w:val="22"/>
        </w:rPr>
      </w:pPr>
      <w:r w:rsidRPr="00D97C0B">
        <w:rPr>
          <w:rFonts w:ascii="Trebuchet MS" w:hAnsi="Trebuchet MS"/>
          <w:szCs w:val="22"/>
        </w:rPr>
        <w:t xml:space="preserve">which fields are </w:t>
      </w:r>
      <w:r w:rsidRPr="007C3AD4">
        <w:rPr>
          <w:rFonts w:ascii="Trebuchet MS" w:hAnsi="Trebuchet MS"/>
          <w:b/>
          <w:bCs/>
          <w:szCs w:val="22"/>
        </w:rPr>
        <w:t>irrelevant for certain asset classes</w:t>
      </w:r>
      <w:r>
        <w:rPr>
          <w:rFonts w:ascii="Trebuchet MS" w:hAnsi="Trebuchet MS"/>
          <w:szCs w:val="22"/>
        </w:rPr>
        <w:t xml:space="preserve"> (typically liquidity reporting for long-term funds providing no redemption rights)</w:t>
      </w:r>
    </w:p>
    <w:p w14:paraId="1D645197" w14:textId="77777777" w:rsidR="00706663" w:rsidRPr="00D97C0B" w:rsidRDefault="00706663" w:rsidP="00706663">
      <w:pPr>
        <w:rPr>
          <w:rFonts w:ascii="Trebuchet MS" w:hAnsi="Trebuchet MS"/>
          <w:szCs w:val="22"/>
        </w:rPr>
      </w:pPr>
      <w:r w:rsidRPr="00D97C0B">
        <w:rPr>
          <w:rFonts w:ascii="Trebuchet MS" w:hAnsi="Trebuchet MS"/>
          <w:szCs w:val="22"/>
        </w:rPr>
        <w:t xml:space="preserve">Based on the results of this exercise, ESMA could then assess the structure of reporting models, taking into consideration specificities of asset managers – and also clarifying </w:t>
      </w:r>
      <w:r>
        <w:rPr>
          <w:rFonts w:ascii="Trebuchet MS" w:hAnsi="Trebuchet MS"/>
          <w:szCs w:val="22"/>
        </w:rPr>
        <w:t>which</w:t>
      </w:r>
      <w:r w:rsidRPr="00D97C0B">
        <w:rPr>
          <w:rFonts w:ascii="Trebuchet MS" w:hAnsi="Trebuchet MS"/>
          <w:szCs w:val="22"/>
        </w:rPr>
        <w:t xml:space="preserve"> specificities are relevant factors. Doing it the other way around would necessarily risk creating frameworks that will not fit </w:t>
      </w:r>
      <w:r>
        <w:rPr>
          <w:rFonts w:ascii="Trebuchet MS" w:hAnsi="Trebuchet MS"/>
          <w:szCs w:val="22"/>
        </w:rPr>
        <w:t>with</w:t>
      </w:r>
      <w:r w:rsidRPr="00D97C0B">
        <w:rPr>
          <w:rFonts w:ascii="Trebuchet MS" w:hAnsi="Trebuchet MS"/>
          <w:szCs w:val="22"/>
        </w:rPr>
        <w:t xml:space="preserve"> the realities of some market players. </w:t>
      </w:r>
    </w:p>
    <w:p w14:paraId="2C9AD9E9" w14:textId="77777777" w:rsidR="00706663" w:rsidRPr="008D1538" w:rsidRDefault="00706663" w:rsidP="00706663">
      <w:pPr>
        <w:rPr>
          <w:rFonts w:ascii="Trebuchet MS" w:hAnsi="Trebuchet MS"/>
          <w:szCs w:val="22"/>
        </w:rPr>
      </w:pPr>
      <w:r w:rsidRPr="00D97C0B">
        <w:rPr>
          <w:rFonts w:ascii="Trebuchet MS" w:hAnsi="Trebuchet MS"/>
          <w:szCs w:val="22"/>
        </w:rPr>
        <w:t xml:space="preserve">Ultimately, integrated reporting should </w:t>
      </w:r>
      <w:r>
        <w:rPr>
          <w:rFonts w:ascii="Trebuchet MS" w:hAnsi="Trebuchet MS"/>
          <w:szCs w:val="22"/>
        </w:rPr>
        <w:t>never</w:t>
      </w:r>
      <w:r w:rsidRPr="00D97C0B">
        <w:rPr>
          <w:rFonts w:ascii="Trebuchet MS" w:hAnsi="Trebuchet MS"/>
          <w:szCs w:val="22"/>
        </w:rPr>
        <w:t xml:space="preserve"> </w:t>
      </w:r>
      <w:r>
        <w:rPr>
          <w:rFonts w:ascii="Trebuchet MS" w:hAnsi="Trebuchet MS"/>
          <w:szCs w:val="22"/>
        </w:rPr>
        <w:t>lead to</w:t>
      </w:r>
      <w:r w:rsidRPr="00D97C0B">
        <w:rPr>
          <w:rFonts w:ascii="Trebuchet MS" w:hAnsi="Trebuchet MS"/>
          <w:szCs w:val="22"/>
        </w:rPr>
        <w:t xml:space="preserve"> </w:t>
      </w:r>
      <w:r>
        <w:rPr>
          <w:rFonts w:ascii="Trebuchet MS" w:hAnsi="Trebuchet MS"/>
          <w:szCs w:val="22"/>
        </w:rPr>
        <w:t>“</w:t>
      </w:r>
      <w:r w:rsidRPr="00D97C0B">
        <w:rPr>
          <w:rFonts w:ascii="Trebuchet MS" w:hAnsi="Trebuchet MS"/>
          <w:szCs w:val="22"/>
        </w:rPr>
        <w:t>common standard reporting</w:t>
      </w:r>
      <w:r>
        <w:rPr>
          <w:rFonts w:ascii="Trebuchet MS" w:hAnsi="Trebuchet MS"/>
          <w:szCs w:val="22"/>
        </w:rPr>
        <w:t>”</w:t>
      </w:r>
      <w:r w:rsidRPr="00D97C0B">
        <w:rPr>
          <w:rFonts w:ascii="Trebuchet MS" w:hAnsi="Trebuchet MS"/>
          <w:szCs w:val="22"/>
        </w:rPr>
        <w:t xml:space="preserve"> – otherwise, the same mistakes as with the KID document could be created, where disclosure to investors is </w:t>
      </w:r>
      <w:r>
        <w:rPr>
          <w:rFonts w:ascii="Trebuchet MS" w:hAnsi="Trebuchet MS"/>
          <w:szCs w:val="22"/>
        </w:rPr>
        <w:t xml:space="preserve">produced but </w:t>
      </w:r>
      <w:r w:rsidRPr="00D97C0B">
        <w:rPr>
          <w:rFonts w:ascii="Trebuchet MS" w:hAnsi="Trebuchet MS"/>
          <w:szCs w:val="22"/>
        </w:rPr>
        <w:t xml:space="preserve">largely </w:t>
      </w:r>
      <w:r>
        <w:rPr>
          <w:rFonts w:ascii="Trebuchet MS" w:hAnsi="Trebuchet MS"/>
          <w:szCs w:val="22"/>
        </w:rPr>
        <w:t>ignored</w:t>
      </w:r>
      <w:r w:rsidRPr="00D97C0B">
        <w:rPr>
          <w:rFonts w:ascii="Trebuchet MS" w:hAnsi="Trebuchet MS"/>
          <w:szCs w:val="22"/>
        </w:rPr>
        <w:t xml:space="preserve"> by industry participants</w:t>
      </w:r>
      <w:r>
        <w:rPr>
          <w:rFonts w:ascii="Trebuchet MS" w:hAnsi="Trebuchet MS"/>
          <w:szCs w:val="22"/>
        </w:rPr>
        <w:t xml:space="preserve"> and/or being unreadable to regulators, </w:t>
      </w:r>
      <w:r w:rsidRPr="00D97C0B">
        <w:rPr>
          <w:rFonts w:ascii="Trebuchet MS" w:hAnsi="Trebuchet MS"/>
          <w:szCs w:val="22"/>
        </w:rPr>
        <w:t>because</w:t>
      </w:r>
      <w:r>
        <w:rPr>
          <w:rFonts w:ascii="Trebuchet MS" w:hAnsi="Trebuchet MS"/>
          <w:szCs w:val="22"/>
        </w:rPr>
        <w:t xml:space="preserve"> seen by market players as</w:t>
      </w:r>
      <w:r w:rsidRPr="00D97C0B">
        <w:rPr>
          <w:rFonts w:ascii="Trebuchet MS" w:hAnsi="Trebuchet MS"/>
          <w:szCs w:val="22"/>
        </w:rPr>
        <w:t xml:space="preserve"> disconnected to </w:t>
      </w:r>
      <w:r>
        <w:rPr>
          <w:rFonts w:ascii="Trebuchet MS" w:hAnsi="Trebuchet MS"/>
          <w:szCs w:val="22"/>
        </w:rPr>
        <w:t>the investment</w:t>
      </w:r>
      <w:r w:rsidRPr="00D97C0B">
        <w:rPr>
          <w:rFonts w:ascii="Trebuchet MS" w:hAnsi="Trebuchet MS"/>
          <w:szCs w:val="22"/>
        </w:rPr>
        <w:t xml:space="preserve"> realities</w:t>
      </w:r>
      <w:r>
        <w:rPr>
          <w:rFonts w:ascii="Trebuchet MS" w:hAnsi="Trebuchet MS"/>
          <w:szCs w:val="22"/>
        </w:rPr>
        <w:t xml:space="preserve"> (i.e.: giving indication of what a return can be after a year to a fund with no redemption rights)</w:t>
      </w:r>
      <w:r w:rsidRPr="00D97C0B">
        <w:rPr>
          <w:rFonts w:ascii="Trebuchet MS" w:hAnsi="Trebuchet MS"/>
          <w:szCs w:val="22"/>
        </w:rPr>
        <w:t xml:space="preserve">. </w:t>
      </w:r>
      <w:r>
        <w:rPr>
          <w:rFonts w:ascii="Trebuchet MS" w:hAnsi="Trebuchet MS"/>
          <w:szCs w:val="22"/>
        </w:rPr>
        <w:t>Furthermore</w:t>
      </w:r>
      <w:r w:rsidRPr="00DB0C82">
        <w:rPr>
          <w:rFonts w:ascii="Trebuchet MS" w:hAnsi="Trebuchet MS"/>
          <w:szCs w:val="22"/>
        </w:rPr>
        <w:t xml:space="preserve">, the new reporting template should be </w:t>
      </w:r>
      <w:r w:rsidRPr="00DB0C82">
        <w:rPr>
          <w:rFonts w:ascii="Trebuchet MS" w:hAnsi="Trebuchet MS"/>
          <w:b/>
          <w:bCs/>
          <w:szCs w:val="22"/>
        </w:rPr>
        <w:t>dynamic</w:t>
      </w:r>
      <w:r w:rsidRPr="00DB0C82">
        <w:rPr>
          <w:rFonts w:ascii="Trebuchet MS" w:hAnsi="Trebuchet MS"/>
          <w:szCs w:val="22"/>
        </w:rPr>
        <w:t>: fields which are irrelevant to a given fund should automatically disappear. In other words, selecting a 'not applicable' box should permanently remove all related reporting fields.</w:t>
      </w:r>
    </w:p>
    <w:p w14:paraId="4BA68122" w14:textId="77777777" w:rsidR="00706663" w:rsidRPr="00135CCA" w:rsidRDefault="00706663" w:rsidP="00706663">
      <w:pPr>
        <w:rPr>
          <w:rFonts w:ascii="Trebuchet MS" w:hAnsi="Trebuchet MS"/>
          <w:szCs w:val="22"/>
        </w:rPr>
      </w:pPr>
      <w:r>
        <w:rPr>
          <w:rFonts w:ascii="Trebuchet MS" w:hAnsi="Trebuchet MS"/>
          <w:szCs w:val="22"/>
        </w:rPr>
        <w:t xml:space="preserve">As a conclusion, we share ESMA’s goal of simplification/harmonisation but only if such harmonisation is not done at the expense of the diversity of features within the global asset management space. </w:t>
      </w:r>
    </w:p>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lastRenderedPageBreak/>
        <w:t>&lt;ESMA_QUESTION_ICFD_5&gt;</w:t>
      </w:r>
    </w:p>
    <w:p w14:paraId="147045BE" w14:textId="77777777" w:rsidR="00706663" w:rsidRPr="00DB0C82" w:rsidRDefault="00706663" w:rsidP="00706663">
      <w:pPr>
        <w:rPr>
          <w:rFonts w:ascii="Trebuchet MS" w:hAnsi="Trebuchet MS"/>
          <w:szCs w:val="22"/>
        </w:rPr>
      </w:pPr>
      <w:permStart w:id="1594840899" w:edGrp="everyone"/>
      <w:r w:rsidRPr="00DB0C82">
        <w:rPr>
          <w:rFonts w:ascii="Trebuchet MS" w:hAnsi="Trebuchet MS"/>
          <w:szCs w:val="22"/>
        </w:rPr>
        <w:t xml:space="preserve">As a general principle, we emphasize that any integrated reporting should replace - rather than add to - existing obligations. </w:t>
      </w:r>
    </w:p>
    <w:p w14:paraId="32305088" w14:textId="77777777" w:rsidR="00706663" w:rsidRPr="00D97C0B" w:rsidRDefault="00706663" w:rsidP="00706663">
      <w:pPr>
        <w:rPr>
          <w:rFonts w:ascii="Trebuchet MS" w:hAnsi="Trebuchet MS"/>
          <w:szCs w:val="22"/>
          <w:u w:val="single"/>
        </w:rPr>
      </w:pPr>
      <w:r w:rsidRPr="00D97C0B">
        <w:rPr>
          <w:rFonts w:ascii="Trebuchet MS" w:hAnsi="Trebuchet MS"/>
          <w:szCs w:val="22"/>
        </w:rPr>
        <w:t>We would</w:t>
      </w:r>
      <w:r>
        <w:rPr>
          <w:rFonts w:ascii="Trebuchet MS" w:hAnsi="Trebuchet MS"/>
          <w:szCs w:val="22"/>
        </w:rPr>
        <w:t xml:space="preserve"> only</w:t>
      </w:r>
      <w:r w:rsidRPr="00D97C0B">
        <w:rPr>
          <w:rFonts w:ascii="Trebuchet MS" w:hAnsi="Trebuchet MS"/>
          <w:szCs w:val="22"/>
        </w:rPr>
        <w:t xml:space="preserve"> be in favour of a fully integrated reporting framework (IR2</w:t>
      </w:r>
      <w:r w:rsidRPr="00D97C0B">
        <w:rPr>
          <w:rFonts w:ascii="Trebuchet MS" w:hAnsi="Trebuchet MS"/>
          <w:szCs w:val="22"/>
          <w:u w:val="single"/>
        </w:rPr>
        <w:t>) provided</w:t>
      </w:r>
      <w:r>
        <w:rPr>
          <w:rFonts w:ascii="Trebuchet MS" w:hAnsi="Trebuchet MS"/>
          <w:szCs w:val="22"/>
          <w:u w:val="single"/>
        </w:rPr>
        <w:t xml:space="preserve"> that</w:t>
      </w:r>
      <w:r w:rsidRPr="00D97C0B">
        <w:rPr>
          <w:rFonts w:ascii="Trebuchet MS" w:hAnsi="Trebuchet MS"/>
          <w:szCs w:val="22"/>
          <w:u w:val="single"/>
        </w:rPr>
        <w:t>:</w:t>
      </w:r>
    </w:p>
    <w:p w14:paraId="028E4854" w14:textId="77777777" w:rsidR="00706663" w:rsidRPr="00D97C0B" w:rsidRDefault="00706663" w:rsidP="00706663">
      <w:pPr>
        <w:pStyle w:val="ListParagraph"/>
        <w:numPr>
          <w:ilvl w:val="0"/>
          <w:numId w:val="43"/>
        </w:numPr>
        <w:spacing w:after="160" w:line="278" w:lineRule="auto"/>
        <w:rPr>
          <w:rFonts w:ascii="Trebuchet MS" w:hAnsi="Trebuchet MS"/>
          <w:szCs w:val="22"/>
        </w:rPr>
      </w:pPr>
      <w:r w:rsidRPr="00D97C0B">
        <w:rPr>
          <w:rFonts w:ascii="Trebuchet MS" w:hAnsi="Trebuchet MS"/>
          <w:szCs w:val="22"/>
          <w:u w:val="single"/>
        </w:rPr>
        <w:t xml:space="preserve"> ESMA can create a regime where specificities of certain fund types are effectively included</w:t>
      </w:r>
      <w:r w:rsidRPr="00D97C0B">
        <w:rPr>
          <w:rFonts w:ascii="Trebuchet MS" w:hAnsi="Trebuchet MS"/>
          <w:szCs w:val="22"/>
        </w:rPr>
        <w:t xml:space="preserve"> (see our response to Question 4) </w:t>
      </w:r>
    </w:p>
    <w:p w14:paraId="2779669B" w14:textId="77777777" w:rsidR="00706663" w:rsidRDefault="00706663" w:rsidP="00706663">
      <w:pPr>
        <w:pStyle w:val="ListParagraph"/>
        <w:numPr>
          <w:ilvl w:val="0"/>
          <w:numId w:val="43"/>
        </w:numPr>
        <w:spacing w:after="160" w:line="278" w:lineRule="auto"/>
        <w:rPr>
          <w:rFonts w:ascii="Trebuchet MS" w:hAnsi="Trebuchet MS"/>
          <w:szCs w:val="22"/>
          <w:u w:val="single"/>
        </w:rPr>
      </w:pPr>
      <w:r w:rsidRPr="00D97C0B">
        <w:rPr>
          <w:rFonts w:ascii="Trebuchet MS" w:hAnsi="Trebuchet MS"/>
          <w:szCs w:val="22"/>
          <w:u w:val="single"/>
        </w:rPr>
        <w:t xml:space="preserve">it does not </w:t>
      </w:r>
      <w:r>
        <w:rPr>
          <w:rFonts w:ascii="Trebuchet MS" w:hAnsi="Trebuchet MS"/>
          <w:szCs w:val="22"/>
          <w:u w:val="single"/>
        </w:rPr>
        <w:t>deforce existing</w:t>
      </w:r>
      <w:r w:rsidRPr="00D97C0B">
        <w:rPr>
          <w:rFonts w:ascii="Trebuchet MS" w:hAnsi="Trebuchet MS"/>
          <w:szCs w:val="22"/>
          <w:u w:val="single"/>
        </w:rPr>
        <w:t xml:space="preserve"> supervisory structures</w:t>
      </w:r>
    </w:p>
    <w:p w14:paraId="7762029A" w14:textId="77777777" w:rsidR="00706663" w:rsidRPr="00D97C0B" w:rsidRDefault="00706663" w:rsidP="00706663">
      <w:pPr>
        <w:pStyle w:val="ListParagraph"/>
        <w:numPr>
          <w:ilvl w:val="0"/>
          <w:numId w:val="43"/>
        </w:numPr>
        <w:spacing w:after="160" w:line="278" w:lineRule="auto"/>
        <w:rPr>
          <w:rFonts w:ascii="Trebuchet MS" w:hAnsi="Trebuchet MS"/>
          <w:szCs w:val="22"/>
          <w:u w:val="single"/>
        </w:rPr>
      </w:pPr>
      <w:r>
        <w:rPr>
          <w:rFonts w:ascii="Trebuchet MS" w:hAnsi="Trebuchet MS"/>
          <w:szCs w:val="22"/>
          <w:u w:val="single"/>
        </w:rPr>
        <w:t xml:space="preserve">it does not create additional requirements </w:t>
      </w:r>
    </w:p>
    <w:p w14:paraId="060ACAEE" w14:textId="77777777" w:rsidR="00706663" w:rsidRPr="00D97C0B" w:rsidRDefault="00706663" w:rsidP="00706663">
      <w:pPr>
        <w:rPr>
          <w:rFonts w:ascii="Trebuchet MS" w:hAnsi="Trebuchet MS"/>
          <w:szCs w:val="22"/>
        </w:rPr>
      </w:pPr>
      <w:r w:rsidRPr="00D97C0B">
        <w:rPr>
          <w:rFonts w:ascii="Trebuchet MS" w:hAnsi="Trebuchet MS"/>
          <w:szCs w:val="22"/>
        </w:rPr>
        <w:t>If that is not possible, then the best proposition for a specific asset class such as ours would be not to integrate the reporting</w:t>
      </w:r>
      <w:r>
        <w:rPr>
          <w:rFonts w:ascii="Trebuchet MS" w:hAnsi="Trebuchet MS"/>
          <w:szCs w:val="22"/>
        </w:rPr>
        <w:t xml:space="preserve"> at all</w:t>
      </w:r>
      <w:r w:rsidRPr="00D97C0B">
        <w:rPr>
          <w:rFonts w:ascii="Trebuchet MS" w:hAnsi="Trebuchet MS"/>
          <w:szCs w:val="22"/>
        </w:rPr>
        <w:t xml:space="preserve">. </w:t>
      </w:r>
    </w:p>
    <w:p w14:paraId="6717BF09" w14:textId="77777777" w:rsidR="00706663" w:rsidRDefault="00706663" w:rsidP="00706663">
      <w:pPr>
        <w:rPr>
          <w:rFonts w:ascii="Trebuchet MS" w:hAnsi="Trebuchet MS"/>
          <w:szCs w:val="22"/>
        </w:rPr>
      </w:pPr>
      <w:r w:rsidRPr="00D97C0B">
        <w:rPr>
          <w:rFonts w:ascii="Trebuchet MS" w:hAnsi="Trebuchet MS"/>
          <w:szCs w:val="22"/>
        </w:rPr>
        <w:t>We welcome the idea of ESMA to acknowledge, through the use of modules, specific fund requirements. As mentioned in the previous question, we find that there would be a significant benefit in tailoring templates to fund models, in particular taking into consideration the underlying investments and the liquidity profile of funds</w:t>
      </w:r>
      <w:r>
        <w:rPr>
          <w:rFonts w:ascii="Trebuchet MS" w:hAnsi="Trebuchet MS"/>
          <w:szCs w:val="22"/>
        </w:rPr>
        <w:t>, as detailed in our response to the previous question. Particular care should be taken to avoid imposing liquidity disclosures to closed-ended funds with no or limited redemption rights.</w:t>
      </w:r>
    </w:p>
    <w:p w14:paraId="1508AD6A" w14:textId="77777777" w:rsidR="00706663" w:rsidRPr="00D97C0B" w:rsidRDefault="00706663" w:rsidP="00706663">
      <w:pPr>
        <w:rPr>
          <w:rFonts w:ascii="Trebuchet MS" w:hAnsi="Trebuchet MS"/>
          <w:szCs w:val="22"/>
        </w:rPr>
      </w:pPr>
      <w:r>
        <w:rPr>
          <w:rFonts w:ascii="Trebuchet MS" w:hAnsi="Trebuchet MS"/>
          <w:szCs w:val="22"/>
        </w:rPr>
        <w:t xml:space="preserve">Similarly, ESMA should, if integrating frameworks, acknowledge the very different pace at which managers do report. Again, ESMA should not perceive this divergence of pace, as it has often been portrayed in the past, as a favour to long-term fund managers: the frequency of reporting should simply fit with the needs of investors and the level of illiquidity of underlying investments.   </w:t>
      </w:r>
    </w:p>
    <w:p w14:paraId="08F179A1" w14:textId="77777777" w:rsidR="00706663" w:rsidRDefault="00706663" w:rsidP="00706663">
      <w:pPr>
        <w:rPr>
          <w:rFonts w:ascii="Trebuchet MS" w:hAnsi="Trebuchet MS"/>
          <w:szCs w:val="22"/>
        </w:rPr>
      </w:pPr>
      <w:r w:rsidRPr="00D97C0B">
        <w:rPr>
          <w:rFonts w:ascii="Trebuchet MS" w:hAnsi="Trebuchet MS"/>
          <w:szCs w:val="22"/>
        </w:rPr>
        <w:t>We are also against the possibility for the authorities to define national-specific modules or fields that address local supervisory needs, incorporated within the same unified reporting structure</w:t>
      </w:r>
      <w:r>
        <w:rPr>
          <w:rFonts w:ascii="Trebuchet MS" w:hAnsi="Trebuchet MS"/>
          <w:szCs w:val="22"/>
        </w:rPr>
        <w:t>.</w:t>
      </w:r>
    </w:p>
    <w:p w14:paraId="32D3B8DB" w14:textId="77777777" w:rsidR="00706663" w:rsidRPr="00DB0C82" w:rsidRDefault="00706663" w:rsidP="00706663">
      <w:pPr>
        <w:rPr>
          <w:rFonts w:ascii="Trebuchet MS" w:hAnsi="Trebuchet MS"/>
          <w:szCs w:val="22"/>
        </w:rPr>
      </w:pPr>
      <w:r w:rsidRPr="00DB0C82">
        <w:rPr>
          <w:rFonts w:ascii="Trebuchet MS" w:hAnsi="Trebuchet MS"/>
          <w:szCs w:val="22"/>
        </w:rPr>
        <w:t xml:space="preserve">It should be recalled that the time, effort and cost needed to introduce a new reporting system may be significant, in particular for smaller players. For instance, the migration to the ROSA system introduced in France by the AMF or the introduction of the DORA reporting were not straightforward. </w:t>
      </w:r>
    </w:p>
    <w:p w14:paraId="7F677934" w14:textId="77777777" w:rsidR="00706663" w:rsidRPr="00D97C0B" w:rsidRDefault="00706663" w:rsidP="00706663">
      <w:pPr>
        <w:rPr>
          <w:rFonts w:ascii="Trebuchet MS" w:hAnsi="Trebuchet MS"/>
          <w:szCs w:val="22"/>
        </w:rPr>
      </w:pPr>
      <w:r w:rsidRPr="00DB0C82">
        <w:rPr>
          <w:rFonts w:ascii="Trebuchet MS" w:hAnsi="Trebuchet MS"/>
          <w:szCs w:val="22"/>
        </w:rPr>
        <w:t xml:space="preserve">In any case, </w:t>
      </w:r>
      <w:r w:rsidRPr="00DB0C82">
        <w:rPr>
          <w:rFonts w:ascii="Trebuchet MS" w:hAnsi="Trebuchet MS"/>
          <w:b/>
          <w:bCs/>
          <w:szCs w:val="22"/>
        </w:rPr>
        <w:t>we call for a proper transition to the new reporting system to be organized</w:t>
      </w:r>
      <w:r w:rsidRPr="00DB0C82">
        <w:rPr>
          <w:rFonts w:ascii="Trebuchet MS" w:hAnsi="Trebuchet MS"/>
          <w:szCs w:val="22"/>
        </w:rPr>
        <w:t>: guidelines and specific technical norms should be developed, and support should be put in place, in particular for the attention of smaller players.</w:t>
      </w:r>
    </w:p>
    <w:permEnd w:id="1594840899"/>
    <w:p w14:paraId="10380430" w14:textId="7777777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778CB53F" w14:textId="77777777" w:rsidR="00706663" w:rsidRDefault="00706663" w:rsidP="00706663">
      <w:pPr>
        <w:rPr>
          <w:rFonts w:ascii="Trebuchet MS" w:hAnsi="Trebuchet MS"/>
          <w:szCs w:val="22"/>
        </w:rPr>
      </w:pPr>
      <w:permStart w:id="1818302197" w:edGrp="everyone"/>
      <w:r w:rsidRPr="00135CCA">
        <w:rPr>
          <w:rFonts w:ascii="Trebuchet MS" w:hAnsi="Trebuchet MS"/>
          <w:szCs w:val="22"/>
        </w:rPr>
        <w:t xml:space="preserve">For </w:t>
      </w:r>
      <w:r>
        <w:rPr>
          <w:rFonts w:ascii="Trebuchet MS" w:hAnsi="Trebuchet MS"/>
          <w:szCs w:val="22"/>
        </w:rPr>
        <w:t xml:space="preserve">reasons we have laid out above, we are not convinced that the integration of reporting of every asset management framework always make sense: this view naturally extends, to an even larger extent, to a further integration to MiFID. </w:t>
      </w:r>
    </w:p>
    <w:p w14:paraId="6C12353C" w14:textId="77777777" w:rsidR="00706663" w:rsidRDefault="00706663" w:rsidP="00706663">
      <w:pPr>
        <w:rPr>
          <w:rFonts w:ascii="Trebuchet MS" w:hAnsi="Trebuchet MS"/>
          <w:szCs w:val="22"/>
        </w:rPr>
      </w:pPr>
      <w:r w:rsidRPr="008D1538">
        <w:rPr>
          <w:rFonts w:ascii="Trebuchet MS" w:hAnsi="Trebuchet MS"/>
          <w:szCs w:val="22"/>
        </w:rPr>
        <w:t xml:space="preserve">At present, EU AIFMs and UCITS managers are not subject to the </w:t>
      </w:r>
      <w:proofErr w:type="spellStart"/>
      <w:r w:rsidRPr="008D1538">
        <w:rPr>
          <w:rFonts w:ascii="Trebuchet MS" w:hAnsi="Trebuchet MS"/>
          <w:szCs w:val="22"/>
        </w:rPr>
        <w:t>MiFIR</w:t>
      </w:r>
      <w:proofErr w:type="spellEnd"/>
      <w:r w:rsidRPr="008D1538">
        <w:rPr>
          <w:rFonts w:ascii="Trebuchet MS" w:hAnsi="Trebuchet MS"/>
          <w:szCs w:val="22"/>
        </w:rPr>
        <w:t xml:space="preserve"> transaction reporting framework at all, so the integration benefit with </w:t>
      </w:r>
      <w:proofErr w:type="spellStart"/>
      <w:r w:rsidRPr="008D1538">
        <w:rPr>
          <w:rFonts w:ascii="Trebuchet MS" w:hAnsi="Trebuchet MS"/>
          <w:szCs w:val="22"/>
        </w:rPr>
        <w:t>MiFIR</w:t>
      </w:r>
      <w:proofErr w:type="spellEnd"/>
      <w:r w:rsidRPr="008D1538">
        <w:rPr>
          <w:rFonts w:ascii="Trebuchet MS" w:hAnsi="Trebuchet MS"/>
          <w:szCs w:val="22"/>
        </w:rPr>
        <w:t xml:space="preserve"> may be limited to situations of delegated portfolio management or orders routed via a group MiFID firm performing reception and transmission of orders</w:t>
      </w:r>
    </w:p>
    <w:p w14:paraId="119128AC" w14:textId="77777777" w:rsidR="00706663" w:rsidRPr="008D1538" w:rsidRDefault="00706663" w:rsidP="00706663">
      <w:pPr>
        <w:rPr>
          <w:rFonts w:ascii="Trebuchet MS" w:hAnsi="Trebuchet MS"/>
          <w:szCs w:val="22"/>
        </w:rPr>
      </w:pPr>
      <w:r>
        <w:rPr>
          <w:rFonts w:ascii="Trebuchet MS" w:hAnsi="Trebuchet MS"/>
          <w:szCs w:val="22"/>
        </w:rPr>
        <w:t xml:space="preserve">We are even sceptical, from an agnostic point of view, that it would at all be helpful for similar structures. </w:t>
      </w:r>
      <w:r w:rsidRPr="008D1538">
        <w:rPr>
          <w:rFonts w:ascii="Trebuchet MS" w:hAnsi="Trebuchet MS"/>
          <w:szCs w:val="22"/>
        </w:rPr>
        <w:t xml:space="preserve">This is because the nature and purpose of reporting for each is fundamentally different.  </w:t>
      </w:r>
      <w:proofErr w:type="spellStart"/>
      <w:r w:rsidRPr="008D1538">
        <w:rPr>
          <w:rFonts w:ascii="Trebuchet MS" w:hAnsi="Trebuchet MS"/>
          <w:szCs w:val="22"/>
        </w:rPr>
        <w:t>MiFIR</w:t>
      </w:r>
      <w:proofErr w:type="spellEnd"/>
      <w:r w:rsidRPr="008D1538">
        <w:rPr>
          <w:rFonts w:ascii="Trebuchet MS" w:hAnsi="Trebuchet MS"/>
          <w:szCs w:val="22"/>
        </w:rPr>
        <w:t xml:space="preserve">, EMIR and SFTR are transaction-level reporting regimes, which focus on the detail of each specific transaction. </w:t>
      </w:r>
      <w:proofErr w:type="spellStart"/>
      <w:r w:rsidRPr="008D1538">
        <w:rPr>
          <w:rFonts w:ascii="Trebuchet MS" w:hAnsi="Trebuchet MS"/>
          <w:szCs w:val="22"/>
        </w:rPr>
        <w:t>MiFIR</w:t>
      </w:r>
      <w:proofErr w:type="spellEnd"/>
      <w:r w:rsidRPr="008D1538">
        <w:rPr>
          <w:rFonts w:ascii="Trebuchet MS" w:hAnsi="Trebuchet MS"/>
          <w:szCs w:val="22"/>
        </w:rPr>
        <w:t xml:space="preserve"> transaction reporting, for example, has over 65 data fields per reportable transaction, and is designed predominantly to monitor potential market misconduct. </w:t>
      </w:r>
    </w:p>
    <w:p w14:paraId="08D21B4A" w14:textId="77777777" w:rsidR="00706663" w:rsidRPr="008D1538" w:rsidRDefault="00706663" w:rsidP="00706663">
      <w:pPr>
        <w:rPr>
          <w:rFonts w:ascii="Trebuchet MS" w:hAnsi="Trebuchet MS"/>
          <w:szCs w:val="22"/>
        </w:rPr>
      </w:pPr>
      <w:r w:rsidRPr="008D1538">
        <w:rPr>
          <w:rFonts w:ascii="Trebuchet MS" w:hAnsi="Trebuchet MS"/>
          <w:szCs w:val="22"/>
        </w:rPr>
        <w:t xml:space="preserve">Those regimes are also more intermediated than AIFMD reporting, in that reports are normally submitted via an ARM or a trade repository, rather than directly to national or EU-level regulators.  If the purpose of the fund manager reporting frameworks is (in part) to gain an oversight of risk exposures of funds, it seems likely that this can be achieved with reporting at a much less detailed level than </w:t>
      </w:r>
      <w:proofErr w:type="spellStart"/>
      <w:r w:rsidRPr="008D1538">
        <w:rPr>
          <w:rFonts w:ascii="Trebuchet MS" w:hAnsi="Trebuchet MS"/>
          <w:szCs w:val="22"/>
        </w:rPr>
        <w:t>MiFIR</w:t>
      </w:r>
      <w:proofErr w:type="spellEnd"/>
      <w:r w:rsidRPr="008D1538">
        <w:rPr>
          <w:rFonts w:ascii="Trebuchet MS" w:hAnsi="Trebuchet MS"/>
          <w:szCs w:val="22"/>
        </w:rPr>
        <w:t xml:space="preserve"> or EMIR.</w:t>
      </w:r>
    </w:p>
    <w:p w14:paraId="7F6DA053" w14:textId="77777777" w:rsidR="00706663" w:rsidRDefault="00706663" w:rsidP="00706663">
      <w:pPr>
        <w:rPr>
          <w:rFonts w:ascii="Trebuchet MS" w:hAnsi="Trebuchet MS"/>
          <w:szCs w:val="22"/>
        </w:rPr>
      </w:pPr>
      <w:r>
        <w:rPr>
          <w:rFonts w:ascii="Trebuchet MS" w:hAnsi="Trebuchet MS"/>
          <w:szCs w:val="22"/>
        </w:rPr>
        <w:t xml:space="preserve">If the goal is to limit the level of information, </w:t>
      </w:r>
      <w:r w:rsidRPr="008D1538">
        <w:rPr>
          <w:rFonts w:ascii="Trebuchet MS" w:hAnsi="Trebuchet MS"/>
          <w:szCs w:val="22"/>
        </w:rPr>
        <w:t xml:space="preserve">it may be better to </w:t>
      </w:r>
      <w:r>
        <w:rPr>
          <w:rFonts w:ascii="Trebuchet MS" w:hAnsi="Trebuchet MS"/>
          <w:szCs w:val="22"/>
        </w:rPr>
        <w:t>reduce the</w:t>
      </w:r>
      <w:r w:rsidRPr="008D1538">
        <w:rPr>
          <w:rFonts w:ascii="Trebuchet MS" w:hAnsi="Trebuchet MS"/>
          <w:szCs w:val="22"/>
        </w:rPr>
        <w:t xml:space="preserve"> duplication of reporting of common fields in MiFID, EMIR and/or SFTR instead, for example in respect to derivatives and SFTs in fund-level reports.  </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3E7BE76B" w14:textId="77777777" w:rsidR="00D7085E" w:rsidRPr="00D97C0B" w:rsidRDefault="00D7085E" w:rsidP="00D7085E">
      <w:pPr>
        <w:rPr>
          <w:rFonts w:ascii="Trebuchet MS" w:hAnsi="Trebuchet MS"/>
          <w:szCs w:val="22"/>
        </w:rPr>
      </w:pPr>
      <w:bookmarkStart w:id="12" w:name="_Hlk209081691"/>
      <w:permStart w:id="2027955525" w:edGrp="everyone"/>
      <w:r w:rsidRPr="00D97C0B">
        <w:rPr>
          <w:rFonts w:ascii="Trebuchet MS" w:hAnsi="Trebuchet MS"/>
          <w:szCs w:val="22"/>
        </w:rPr>
        <w:lastRenderedPageBreak/>
        <w:t>As mentioned in our answer to Question 4, we suggest for ESMA to focus on the value of reporting data per type of fund, also acknowledging the fund’s investor base (typically to avoid treating funds marketed to retail clients in the same way as funds exclusively offered to retail investors</w:t>
      </w:r>
      <w:r>
        <w:rPr>
          <w:rFonts w:ascii="Trebuchet MS" w:hAnsi="Trebuchet MS"/>
          <w:szCs w:val="22"/>
        </w:rPr>
        <w:t>)</w:t>
      </w:r>
      <w:r w:rsidRPr="00D97C0B">
        <w:rPr>
          <w:rFonts w:ascii="Trebuchet MS" w:hAnsi="Trebuchet MS"/>
          <w:szCs w:val="22"/>
        </w:rPr>
        <w:t xml:space="preserve">. </w:t>
      </w:r>
    </w:p>
    <w:p w14:paraId="3269CFF6" w14:textId="77777777" w:rsidR="00D7085E" w:rsidRPr="00D97C0B" w:rsidRDefault="00D7085E" w:rsidP="00D7085E">
      <w:pPr>
        <w:rPr>
          <w:rFonts w:ascii="Trebuchet MS" w:hAnsi="Trebuchet MS"/>
          <w:szCs w:val="22"/>
        </w:rPr>
      </w:pPr>
      <w:r w:rsidRPr="00D97C0B">
        <w:rPr>
          <w:rFonts w:ascii="Trebuchet MS" w:hAnsi="Trebuchet MS"/>
          <w:szCs w:val="22"/>
        </w:rPr>
        <w:t xml:space="preserve">Value in reporting certain elements may be important from a UCITS perspective - both because of the liquidity of assets and the retail nature of investors – and yet remain irrelevant from a private equity perspective. </w:t>
      </w:r>
      <w:r>
        <w:rPr>
          <w:rFonts w:ascii="Trebuchet MS" w:hAnsi="Trebuchet MS"/>
          <w:szCs w:val="22"/>
        </w:rPr>
        <w:t xml:space="preserve">Market fluctuations are a good example of this: they will be extremely relevant for </w:t>
      </w:r>
      <w:proofErr w:type="gramStart"/>
      <w:r>
        <w:rPr>
          <w:rFonts w:ascii="Trebuchet MS" w:hAnsi="Trebuchet MS"/>
          <w:szCs w:val="22"/>
        </w:rPr>
        <w:t>daily-traded</w:t>
      </w:r>
      <w:proofErr w:type="gramEnd"/>
      <w:r>
        <w:rPr>
          <w:rFonts w:ascii="Trebuchet MS" w:hAnsi="Trebuchet MS"/>
          <w:szCs w:val="22"/>
        </w:rPr>
        <w:t xml:space="preserve"> UCITS funds, and entirely irrelevant for private equity funds, which are able to sell their businesses with one or two years-delay in difficult market conditions. </w:t>
      </w:r>
    </w:p>
    <w:bookmarkEnd w:id="12"/>
    <w:permEnd w:id="2027955525"/>
    <w:p w14:paraId="0E762164" w14:textId="77777777"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0554FDEC" w14:textId="77777777" w:rsidR="00D7085E" w:rsidRDefault="00D7085E" w:rsidP="00D7085E">
      <w:pPr>
        <w:rPr>
          <w:rFonts w:ascii="Trebuchet MS" w:hAnsi="Trebuchet MS"/>
          <w:szCs w:val="22"/>
        </w:rPr>
      </w:pPr>
      <w:permStart w:id="798060755" w:edGrp="everyone"/>
      <w:r w:rsidRPr="00681806">
        <w:rPr>
          <w:rFonts w:ascii="Trebuchet MS" w:hAnsi="Trebuchet MS"/>
          <w:szCs w:val="22"/>
        </w:rPr>
        <w:t xml:space="preserve">See our comments on fund classification in our response to Question 1. </w:t>
      </w:r>
    </w:p>
    <w:p w14:paraId="289DE9E1" w14:textId="77777777" w:rsidR="00D7085E" w:rsidRPr="00F230F8" w:rsidRDefault="00D7085E" w:rsidP="00D7085E">
      <w:pPr>
        <w:rPr>
          <w:rFonts w:ascii="Trebuchet MS" w:hAnsi="Trebuchet MS"/>
          <w:szCs w:val="22"/>
        </w:rPr>
      </w:pPr>
      <w:r w:rsidRPr="00F230F8">
        <w:rPr>
          <w:rFonts w:ascii="Trebuchet MS" w:hAnsi="Trebuchet MS"/>
          <w:szCs w:val="22"/>
        </w:rPr>
        <w:t>In the context of the development of such integrated reporting system, we support the development of a common reporting taxonomy allowing the proper integration of reporting obligations, even though this may be quite challenging.</w:t>
      </w:r>
    </w:p>
    <w:p w14:paraId="4D22177B" w14:textId="77777777" w:rsidR="00D7085E" w:rsidRPr="00F230F8" w:rsidRDefault="00D7085E" w:rsidP="00D7085E">
      <w:pPr>
        <w:rPr>
          <w:rFonts w:ascii="Trebuchet MS" w:hAnsi="Trebuchet MS"/>
          <w:szCs w:val="22"/>
        </w:rPr>
      </w:pPr>
      <w:r w:rsidRPr="00F230F8">
        <w:rPr>
          <w:rFonts w:ascii="Trebuchet MS" w:hAnsi="Trebuchet MS"/>
          <w:szCs w:val="22"/>
        </w:rPr>
        <w:t>We support ESMA’s proposals to:</w:t>
      </w:r>
    </w:p>
    <w:p w14:paraId="2FEBB31C" w14:textId="77777777" w:rsidR="00D7085E" w:rsidRPr="007D0237" w:rsidRDefault="00D7085E" w:rsidP="00D7085E">
      <w:pPr>
        <w:pStyle w:val="ListParagraph"/>
        <w:numPr>
          <w:ilvl w:val="0"/>
          <w:numId w:val="44"/>
        </w:numPr>
        <w:spacing w:after="160" w:line="278" w:lineRule="auto"/>
        <w:rPr>
          <w:rFonts w:ascii="Trebuchet MS" w:hAnsi="Trebuchet MS"/>
          <w:szCs w:val="22"/>
        </w:rPr>
      </w:pPr>
      <w:r w:rsidRPr="007D0237">
        <w:rPr>
          <w:rFonts w:ascii="Trebuchet MS" w:hAnsi="Trebuchet MS"/>
          <w:szCs w:val="22"/>
        </w:rPr>
        <w:t xml:space="preserve">create a common dictionary of data allowing a unified taxonomy for the reporting for asset management; </w:t>
      </w:r>
    </w:p>
    <w:p w14:paraId="00430275" w14:textId="77777777" w:rsidR="00D7085E" w:rsidRPr="007D0237" w:rsidRDefault="00D7085E" w:rsidP="00D7085E">
      <w:pPr>
        <w:pStyle w:val="ListParagraph"/>
        <w:numPr>
          <w:ilvl w:val="0"/>
          <w:numId w:val="44"/>
        </w:numPr>
        <w:spacing w:after="160" w:line="278" w:lineRule="auto"/>
        <w:rPr>
          <w:rFonts w:ascii="Trebuchet MS" w:hAnsi="Trebuchet MS"/>
          <w:szCs w:val="22"/>
        </w:rPr>
      </w:pPr>
      <w:r>
        <w:rPr>
          <w:rFonts w:ascii="Trebuchet MS" w:hAnsi="Trebuchet MS"/>
          <w:szCs w:val="22"/>
        </w:rPr>
        <w:t>i</w:t>
      </w:r>
      <w:r w:rsidRPr="007D0237">
        <w:rPr>
          <w:rFonts w:ascii="Trebuchet MS" w:hAnsi="Trebuchet MS"/>
          <w:szCs w:val="22"/>
        </w:rPr>
        <w:t>dentify national ad hoc reporting requirements in order to ensure better coordination;</w:t>
      </w:r>
    </w:p>
    <w:p w14:paraId="25C1E858" w14:textId="77777777" w:rsidR="00D7085E" w:rsidRPr="007D0237" w:rsidRDefault="00D7085E" w:rsidP="00D7085E">
      <w:pPr>
        <w:pStyle w:val="ListParagraph"/>
        <w:numPr>
          <w:ilvl w:val="0"/>
          <w:numId w:val="44"/>
        </w:numPr>
        <w:spacing w:after="160" w:line="278" w:lineRule="auto"/>
        <w:rPr>
          <w:rFonts w:ascii="Trebuchet MS" w:hAnsi="Trebuchet MS"/>
          <w:szCs w:val="22"/>
        </w:rPr>
      </w:pPr>
      <w:r w:rsidRPr="007D0237">
        <w:rPr>
          <w:rFonts w:ascii="Trebuchet MS" w:hAnsi="Trebuchet MS"/>
          <w:szCs w:val="22"/>
        </w:rPr>
        <w:t>create a centralized database including the funds’ key features.</w:t>
      </w:r>
    </w:p>
    <w:p w14:paraId="56E461B8" w14:textId="77777777" w:rsidR="00D7085E" w:rsidRDefault="00D7085E" w:rsidP="00F21CF0">
      <w:pPr>
        <w:rPr>
          <w:rFonts w:ascii="Trebuchet MS" w:hAnsi="Trebuchet MS"/>
          <w:szCs w:val="22"/>
        </w:rPr>
      </w:pPr>
      <w:r w:rsidRPr="00681806">
        <w:rPr>
          <w:rFonts w:ascii="Trebuchet MS" w:hAnsi="Trebuchet MS"/>
          <w:szCs w:val="22"/>
        </w:rPr>
        <w:t xml:space="preserve">Regarding the </w:t>
      </w:r>
      <w:r>
        <w:rPr>
          <w:rFonts w:ascii="Trebuchet MS" w:hAnsi="Trebuchet MS"/>
          <w:szCs w:val="22"/>
        </w:rPr>
        <w:t>“</w:t>
      </w:r>
      <w:r w:rsidRPr="00681806">
        <w:rPr>
          <w:rFonts w:ascii="Trebuchet MS" w:hAnsi="Trebuchet MS"/>
          <w:szCs w:val="22"/>
        </w:rPr>
        <w:t>AuM</w:t>
      </w:r>
      <w:r>
        <w:rPr>
          <w:rFonts w:ascii="Trebuchet MS" w:hAnsi="Trebuchet MS"/>
          <w:szCs w:val="22"/>
        </w:rPr>
        <w:t>”</w:t>
      </w:r>
      <w:r w:rsidRPr="00681806">
        <w:rPr>
          <w:rFonts w:ascii="Trebuchet MS" w:hAnsi="Trebuchet MS"/>
          <w:szCs w:val="22"/>
        </w:rPr>
        <w:t xml:space="preserve">, it is essential that this concept, which is key to determine whether a manager is subject to AIFMD or not, continue to take into consideration the funds’ specificities. </w:t>
      </w:r>
      <w:r>
        <w:rPr>
          <w:rFonts w:ascii="Trebuchet MS" w:hAnsi="Trebuchet MS"/>
          <w:szCs w:val="22"/>
        </w:rPr>
        <w:t>It is unclear whether it would be possible to have a definition of an “AuM” that is sufficiently simple to be clear and sufficiently sophisticated to account for the way one calculates the AuM of a liquid fund compared to a closed-ended fund</w:t>
      </w:r>
      <w:permStart w:id="798060755" w:edGrp="everyone"/>
      <w:r>
        <w:rPr>
          <w:rFonts w:ascii="Trebuchet MS" w:hAnsi="Trebuchet MS"/>
          <w:szCs w:val="22"/>
        </w:rPr>
        <w:t xml:space="preserve"> </w:t>
      </w:r>
      <w:r w:rsidR="00706663">
        <w:rPr>
          <w:rFonts w:ascii="Trebuchet MS" w:hAnsi="Trebuchet MS"/>
          <w:szCs w:val="22"/>
        </w:rPr>
        <w:t xml:space="preserve"> </w:t>
      </w:r>
    </w:p>
    <w:permEnd w:id="798060755"/>
    <w:permEnd w:id="798060755"/>
    <w:p w14:paraId="3FB8FC95" w14:textId="0667CB06"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lastRenderedPageBreak/>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45BF8309" w14:textId="77777777" w:rsidR="00D7085E" w:rsidRDefault="00706663" w:rsidP="00D7085E">
      <w:pPr>
        <w:rPr>
          <w:rFonts w:ascii="Trebuchet MS" w:hAnsi="Trebuchet MS"/>
          <w:szCs w:val="22"/>
        </w:rPr>
      </w:pPr>
      <w:permStart w:id="825391439" w:edGrp="everyone"/>
      <w:r>
        <w:rPr>
          <w:rFonts w:ascii="Trebuchet MS" w:hAnsi="Trebuchet MS"/>
          <w:szCs w:val="22"/>
        </w:rPr>
        <w:t xml:space="preserve"> </w:t>
      </w:r>
      <w:r w:rsidR="00D7085E" w:rsidRPr="00F24911">
        <w:rPr>
          <w:rFonts w:ascii="Trebuchet MS" w:hAnsi="Trebuchet MS"/>
          <w:szCs w:val="22"/>
        </w:rPr>
        <w:t xml:space="preserve">We can see the efficiencies of a </w:t>
      </w:r>
      <w:bookmarkStart w:id="13" w:name="_Hlk207278158"/>
      <w:r w:rsidR="00D7085E" w:rsidRPr="00F24911">
        <w:rPr>
          <w:rFonts w:ascii="Trebuchet MS" w:hAnsi="Trebuchet MS"/>
          <w:szCs w:val="22"/>
        </w:rPr>
        <w:t xml:space="preserve">single EU point for managers reporting under Annex IV </w:t>
      </w:r>
      <w:bookmarkEnd w:id="13"/>
      <w:r w:rsidR="00D7085E" w:rsidRPr="00F24911">
        <w:rPr>
          <w:rFonts w:ascii="Trebuchet MS" w:hAnsi="Trebuchet MS"/>
          <w:szCs w:val="22"/>
        </w:rPr>
        <w:t xml:space="preserve">as a result of marketing registrations under </w:t>
      </w:r>
      <w:r w:rsidR="00D7085E">
        <w:rPr>
          <w:rFonts w:ascii="Trebuchet MS" w:hAnsi="Trebuchet MS"/>
          <w:szCs w:val="22"/>
        </w:rPr>
        <w:t>national private placement regimes (for example, Article 42 AIFMD)</w:t>
      </w:r>
      <w:r w:rsidR="00D7085E" w:rsidRPr="00F24911">
        <w:rPr>
          <w:rFonts w:ascii="Trebuchet MS" w:hAnsi="Trebuchet MS"/>
          <w:szCs w:val="22"/>
        </w:rPr>
        <w:t xml:space="preserve">. This is likely to eliminate any variations in Member States' reporting standards in respect of the same fund marketed in each jurisdiction. </w:t>
      </w:r>
    </w:p>
    <w:p w14:paraId="5F12DCFD" w14:textId="77777777" w:rsidR="00D7085E" w:rsidRPr="00E43098" w:rsidRDefault="00D7085E" w:rsidP="00D7085E">
      <w:pPr>
        <w:rPr>
          <w:rFonts w:ascii="Trebuchet MS" w:hAnsi="Trebuchet MS"/>
          <w:szCs w:val="22"/>
        </w:rPr>
      </w:pPr>
      <w:r w:rsidRPr="00F24911">
        <w:rPr>
          <w:rFonts w:ascii="Trebuchet MS" w:hAnsi="Trebuchet MS"/>
          <w:szCs w:val="22"/>
        </w:rPr>
        <w:t>The benefits for an AIFM</w:t>
      </w:r>
      <w:r>
        <w:rPr>
          <w:rFonts w:ascii="Trebuchet MS" w:hAnsi="Trebuchet MS"/>
          <w:szCs w:val="22"/>
        </w:rPr>
        <w:t xml:space="preserve"> marketed under the AIFMD passport will be</w:t>
      </w:r>
      <w:r w:rsidRPr="00F24911">
        <w:rPr>
          <w:rFonts w:ascii="Trebuchet MS" w:hAnsi="Trebuchet MS"/>
          <w:szCs w:val="22"/>
        </w:rPr>
        <w:t xml:space="preserve"> less clear</w:t>
      </w:r>
      <w:r>
        <w:rPr>
          <w:rFonts w:ascii="Trebuchet MS" w:hAnsi="Trebuchet MS"/>
          <w:szCs w:val="22"/>
        </w:rPr>
        <w:t xml:space="preserve">. In some cases, a single point of reporting could mean increased complexity for managers, as they currently report to a NCA that is aware of their (and their national market’s) specificities. </w:t>
      </w:r>
    </w:p>
    <w:p w14:paraId="71B4C540" w14:textId="77777777" w:rsidR="00D7085E" w:rsidRDefault="00D7085E" w:rsidP="00D7085E">
      <w:pPr>
        <w:rPr>
          <w:rFonts w:ascii="Trebuchet MS" w:hAnsi="Trebuchet MS"/>
          <w:szCs w:val="22"/>
        </w:rPr>
      </w:pPr>
      <w:r>
        <w:rPr>
          <w:rFonts w:ascii="Trebuchet MS" w:hAnsi="Trebuchet MS"/>
          <w:szCs w:val="22"/>
        </w:rPr>
        <w:t>T</w:t>
      </w:r>
      <w:r w:rsidRPr="00E43098">
        <w:rPr>
          <w:rFonts w:ascii="Trebuchet MS" w:hAnsi="Trebuchet MS"/>
          <w:szCs w:val="22"/>
        </w:rPr>
        <w:t xml:space="preserve">he risk of introducing a single EU reporting point for AIFMs is tied to the fact that there is quite some variation in </w:t>
      </w:r>
      <w:r>
        <w:rPr>
          <w:rFonts w:ascii="Trebuchet MS" w:hAnsi="Trebuchet MS"/>
          <w:szCs w:val="22"/>
        </w:rPr>
        <w:t xml:space="preserve">national </w:t>
      </w:r>
      <w:r w:rsidRPr="00E43098">
        <w:rPr>
          <w:rFonts w:ascii="Trebuchet MS" w:hAnsi="Trebuchet MS"/>
          <w:szCs w:val="22"/>
          <w:u w:val="single"/>
        </w:rPr>
        <w:t>fund</w:t>
      </w:r>
      <w:r w:rsidRPr="00E43098">
        <w:rPr>
          <w:rFonts w:ascii="Trebuchet MS" w:hAnsi="Trebuchet MS"/>
          <w:szCs w:val="22"/>
        </w:rPr>
        <w:t xml:space="preserve"> types, with which the </w:t>
      </w:r>
      <w:r>
        <w:rPr>
          <w:rFonts w:ascii="Trebuchet MS" w:hAnsi="Trebuchet MS"/>
          <w:szCs w:val="22"/>
        </w:rPr>
        <w:t>NCA</w:t>
      </w:r>
      <w:r w:rsidRPr="00E43098">
        <w:rPr>
          <w:rFonts w:ascii="Trebuchet MS" w:hAnsi="Trebuchet MS"/>
          <w:szCs w:val="22"/>
        </w:rPr>
        <w:t xml:space="preserve"> is very familiar and where any request for additional information can be targeted to the specificities of the managed fund and local market. </w:t>
      </w:r>
    </w:p>
    <w:p w14:paraId="3F00254E" w14:textId="77777777" w:rsidR="00D7085E" w:rsidRDefault="00D7085E" w:rsidP="00D7085E">
      <w:pPr>
        <w:rPr>
          <w:rFonts w:ascii="Trebuchet MS" w:hAnsi="Trebuchet MS"/>
          <w:szCs w:val="22"/>
        </w:rPr>
      </w:pPr>
      <w:r>
        <w:rPr>
          <w:rFonts w:ascii="Trebuchet MS" w:hAnsi="Trebuchet MS"/>
          <w:szCs w:val="22"/>
        </w:rPr>
        <w:t xml:space="preserve">A single reporting point could however be relevant for those AIFMs marketed in jurisdictions where NCAs are systematically requesting additional (and arguably often irrelevant) information – and for which a centralised regime overseen by ESMA will mean a more appropriate regime. The less developed the market, the more relevant this is likely to be, as the quality of supervision is greatly dependent on the development of the local ecosystem. </w:t>
      </w:r>
    </w:p>
    <w:p w14:paraId="03A40153" w14:textId="77777777" w:rsidR="00D7085E" w:rsidRDefault="00D7085E" w:rsidP="00D7085E">
      <w:pPr>
        <w:rPr>
          <w:rFonts w:ascii="Trebuchet MS" w:hAnsi="Trebuchet MS"/>
          <w:szCs w:val="22"/>
        </w:rPr>
      </w:pPr>
      <w:r>
        <w:rPr>
          <w:rFonts w:ascii="Trebuchet MS" w:hAnsi="Trebuchet MS"/>
          <w:szCs w:val="22"/>
        </w:rPr>
        <w:t xml:space="preserve">The fact both of these can be equally true mean that </w:t>
      </w:r>
      <w:r w:rsidRPr="00F24911">
        <w:rPr>
          <w:rFonts w:ascii="Trebuchet MS" w:hAnsi="Trebuchet MS"/>
          <w:szCs w:val="22"/>
        </w:rPr>
        <w:t xml:space="preserve">reporting directly to ESMA (or some equivalent reporting entity) as a single EU point of data entry </w:t>
      </w:r>
      <w:r>
        <w:rPr>
          <w:rFonts w:ascii="Trebuchet MS" w:hAnsi="Trebuchet MS"/>
          <w:szCs w:val="22"/>
        </w:rPr>
        <w:t>will only</w:t>
      </w:r>
      <w:r w:rsidRPr="00F24911">
        <w:rPr>
          <w:rFonts w:ascii="Trebuchet MS" w:hAnsi="Trebuchet MS"/>
          <w:szCs w:val="22"/>
        </w:rPr>
        <w:t xml:space="preserve"> be a better solution </w:t>
      </w:r>
      <w:r>
        <w:rPr>
          <w:rFonts w:ascii="Trebuchet MS" w:hAnsi="Trebuchet MS"/>
          <w:szCs w:val="22"/>
        </w:rPr>
        <w:t>if the benefits of the removal of</w:t>
      </w:r>
      <w:r w:rsidRPr="00F24911">
        <w:rPr>
          <w:rFonts w:ascii="Trebuchet MS" w:hAnsi="Trebuchet MS"/>
          <w:szCs w:val="22"/>
        </w:rPr>
        <w:t xml:space="preserve"> gold-plating of reporting obligations</w:t>
      </w:r>
      <w:r>
        <w:rPr>
          <w:rFonts w:ascii="Trebuchet MS" w:hAnsi="Trebuchet MS"/>
          <w:szCs w:val="22"/>
        </w:rPr>
        <w:t xml:space="preserve"> are, on the whole, greater than the loss of relationship between managers and their current NCAs (and the ability of ESMA to replace that relationship). </w:t>
      </w:r>
    </w:p>
    <w:p w14:paraId="45D3746A" w14:textId="77777777" w:rsidR="00D7085E" w:rsidRDefault="00D7085E" w:rsidP="00D7085E">
      <w:pPr>
        <w:rPr>
          <w:rFonts w:ascii="Trebuchet MS" w:hAnsi="Trebuchet MS"/>
          <w:szCs w:val="22"/>
        </w:rPr>
      </w:pPr>
      <w:r>
        <w:rPr>
          <w:rFonts w:ascii="Trebuchet MS" w:hAnsi="Trebuchet MS"/>
          <w:szCs w:val="22"/>
        </w:rPr>
        <w:t xml:space="preserve">ESMA should therefore consider how changes may, at least at first, constitute a concern for fund managers based in certain of the most developed EU jurisdictions, and therefore carefully weigh the </w:t>
      </w:r>
      <w:proofErr w:type="gramStart"/>
      <w:r>
        <w:rPr>
          <w:rFonts w:ascii="Trebuchet MS" w:hAnsi="Trebuchet MS"/>
          <w:szCs w:val="22"/>
        </w:rPr>
        <w:t>pro’s</w:t>
      </w:r>
      <w:proofErr w:type="gramEnd"/>
      <w:r>
        <w:rPr>
          <w:rFonts w:ascii="Trebuchet MS" w:hAnsi="Trebuchet MS"/>
          <w:szCs w:val="22"/>
        </w:rPr>
        <w:t xml:space="preserve"> and </w:t>
      </w:r>
      <w:proofErr w:type="spellStart"/>
      <w:r>
        <w:rPr>
          <w:rFonts w:ascii="Trebuchet MS" w:hAnsi="Trebuchet MS"/>
          <w:szCs w:val="22"/>
        </w:rPr>
        <w:t>con’s</w:t>
      </w:r>
      <w:proofErr w:type="spellEnd"/>
      <w:r>
        <w:rPr>
          <w:rFonts w:ascii="Trebuchet MS" w:hAnsi="Trebuchet MS"/>
          <w:szCs w:val="22"/>
        </w:rPr>
        <w:t xml:space="preserve"> of such an approach</w:t>
      </w:r>
      <w:r w:rsidRPr="00F24911">
        <w:rPr>
          <w:rFonts w:ascii="Trebuchet MS" w:hAnsi="Trebuchet MS"/>
          <w:szCs w:val="22"/>
        </w:rPr>
        <w:t>. </w:t>
      </w:r>
    </w:p>
    <w:p w14:paraId="5C25E73D" w14:textId="77777777" w:rsidR="00D7085E" w:rsidRDefault="00D7085E" w:rsidP="00D7085E">
      <w:pPr>
        <w:rPr>
          <w:rFonts w:ascii="Trebuchet MS" w:hAnsi="Trebuchet MS"/>
          <w:szCs w:val="22"/>
        </w:rPr>
      </w:pPr>
      <w:r>
        <w:rPr>
          <w:rFonts w:ascii="Trebuchet MS" w:hAnsi="Trebuchet MS"/>
          <w:szCs w:val="22"/>
        </w:rPr>
        <w:t>What is certain is that the addition of</w:t>
      </w:r>
      <w:r w:rsidRPr="00F24911">
        <w:rPr>
          <w:rFonts w:ascii="Trebuchet MS" w:hAnsi="Trebuchet MS"/>
          <w:szCs w:val="22"/>
        </w:rPr>
        <w:t xml:space="preserve"> a new third-party for data collection (e.g. the AIFMD and UCITS equivalent of an EMIR or SFTR trade repository)</w:t>
      </w:r>
      <w:r>
        <w:rPr>
          <w:rFonts w:ascii="Trebuchet MS" w:hAnsi="Trebuchet MS"/>
          <w:szCs w:val="22"/>
        </w:rPr>
        <w:t xml:space="preserve"> is </w:t>
      </w:r>
      <w:r w:rsidRPr="00F24911">
        <w:rPr>
          <w:rFonts w:ascii="Trebuchet MS" w:hAnsi="Trebuchet MS"/>
          <w:szCs w:val="22"/>
        </w:rPr>
        <w:t>likely to add unnecessary costs without any clear benefits.</w:t>
      </w:r>
    </w:p>
    <w:p w14:paraId="1B81CA64" w14:textId="41C19617" w:rsidR="00706663" w:rsidRPr="00681806" w:rsidRDefault="00D7085E" w:rsidP="00706663">
      <w:pPr>
        <w:rPr>
          <w:rFonts w:ascii="Trebuchet MS" w:hAnsi="Trebuchet MS"/>
          <w:szCs w:val="22"/>
        </w:rPr>
      </w:pPr>
      <w:r>
        <w:rPr>
          <w:rFonts w:ascii="Trebuchet MS" w:hAnsi="Trebuchet MS"/>
          <w:szCs w:val="22"/>
        </w:rPr>
        <w:lastRenderedPageBreak/>
        <w:t>In conclusion, m</w:t>
      </w:r>
      <w:r w:rsidRPr="00E43098">
        <w:rPr>
          <w:rFonts w:ascii="Trebuchet MS" w:hAnsi="Trebuchet MS"/>
          <w:szCs w:val="22"/>
        </w:rPr>
        <w:t>oving away from the national reporting framework is therefore not just a mere matter of cost or procedural optimisation</w:t>
      </w:r>
      <w:r>
        <w:rPr>
          <w:rFonts w:ascii="Trebuchet MS" w:hAnsi="Trebuchet MS"/>
          <w:szCs w:val="22"/>
        </w:rPr>
        <w:t>, especially as fund structures largely differ from one country to another.</w:t>
      </w:r>
    </w:p>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09F1AC4F" w14:textId="3AA7BFB5" w:rsidR="00D7085E" w:rsidRPr="00D97C0B" w:rsidRDefault="00D7085E" w:rsidP="00D7085E">
      <w:pPr>
        <w:rPr>
          <w:rFonts w:ascii="Trebuchet MS" w:hAnsi="Trebuchet MS"/>
          <w:szCs w:val="22"/>
        </w:rPr>
      </w:pPr>
      <w:permStart w:id="1057125905" w:edGrp="everyone"/>
      <w:r>
        <w:rPr>
          <w:rFonts w:ascii="Trebuchet MS" w:hAnsi="Trebuchet MS"/>
          <w:szCs w:val="22"/>
        </w:rPr>
        <w:t>We argue that the less intermediaries there are, the less likely the manager will be subject to additional requirements. There should either be a single EU supervisor or the NCA as a single supervisor for funds in its market – but not a mixed regime.</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51140510" w14:textId="3D77548C" w:rsidR="00706663" w:rsidRPr="00D97C0B" w:rsidRDefault="00D7085E" w:rsidP="00706663">
      <w:pPr>
        <w:rPr>
          <w:rFonts w:ascii="Trebuchet MS" w:hAnsi="Trebuchet MS"/>
          <w:szCs w:val="22"/>
        </w:rPr>
      </w:pPr>
      <w:permStart w:id="462356840" w:edGrp="everyone"/>
      <w:r>
        <w:rPr>
          <w:rFonts w:ascii="Trebuchet MS" w:hAnsi="Trebuchet MS"/>
          <w:szCs w:val="22"/>
        </w:rPr>
        <w:t>NA</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61C7DA00" w14:textId="77777777" w:rsidR="00D7085E" w:rsidRDefault="00D7085E" w:rsidP="00D7085E">
      <w:pPr>
        <w:rPr>
          <w:rFonts w:ascii="Trebuchet MS" w:hAnsi="Trebuchet MS"/>
          <w:szCs w:val="22"/>
        </w:rPr>
      </w:pPr>
      <w:bookmarkStart w:id="14" w:name="_Hlk209081782"/>
      <w:permStart w:id="870546551" w:edGrp="everyone"/>
      <w:r>
        <w:rPr>
          <w:rFonts w:ascii="Trebuchet MS" w:hAnsi="Trebuchet MS"/>
          <w:szCs w:val="22"/>
        </w:rPr>
        <w:t xml:space="preserve">Yes. </w:t>
      </w:r>
      <w:r w:rsidRPr="00704210">
        <w:rPr>
          <w:rFonts w:ascii="Trebuchet MS" w:hAnsi="Trebuchet MS"/>
          <w:szCs w:val="22"/>
        </w:rPr>
        <w:t xml:space="preserve">This is likely to be key to any proposed change, particularly given </w:t>
      </w:r>
      <w:r>
        <w:rPr>
          <w:rFonts w:ascii="Trebuchet MS" w:hAnsi="Trebuchet MS"/>
          <w:szCs w:val="22"/>
        </w:rPr>
        <w:t>reshaping</w:t>
      </w:r>
      <w:r w:rsidRPr="00704210">
        <w:rPr>
          <w:rFonts w:ascii="Trebuchet MS" w:hAnsi="Trebuchet MS"/>
          <w:szCs w:val="22"/>
        </w:rPr>
        <w:t xml:space="preserve"> data systems </w:t>
      </w:r>
      <w:r>
        <w:rPr>
          <w:rFonts w:ascii="Trebuchet MS" w:hAnsi="Trebuchet MS"/>
          <w:szCs w:val="22"/>
        </w:rPr>
        <w:t>will be</w:t>
      </w:r>
      <w:r w:rsidRPr="00704210">
        <w:rPr>
          <w:rFonts w:ascii="Trebuchet MS" w:hAnsi="Trebuchet MS"/>
          <w:szCs w:val="22"/>
        </w:rPr>
        <w:t xml:space="preserve"> expensive and time consuming</w:t>
      </w:r>
      <w:r>
        <w:rPr>
          <w:rFonts w:ascii="Trebuchet MS" w:hAnsi="Trebuchet MS"/>
          <w:szCs w:val="22"/>
        </w:rPr>
        <w:t>. G</w:t>
      </w:r>
      <w:r w:rsidRPr="00704210">
        <w:rPr>
          <w:rFonts w:ascii="Trebuchet MS" w:hAnsi="Trebuchet MS"/>
          <w:szCs w:val="22"/>
        </w:rPr>
        <w:t xml:space="preserve">iving the industry time to get up to speed with the new standards will result in better reporting from the get-go.  </w:t>
      </w:r>
    </w:p>
    <w:p w14:paraId="4B030B3D" w14:textId="77777777" w:rsidR="00D7085E" w:rsidRDefault="00D7085E" w:rsidP="00D7085E">
      <w:pPr>
        <w:rPr>
          <w:rFonts w:ascii="Trebuchet MS" w:hAnsi="Trebuchet MS"/>
          <w:szCs w:val="22"/>
        </w:rPr>
      </w:pPr>
      <w:r w:rsidRPr="00704210">
        <w:rPr>
          <w:rFonts w:ascii="Trebuchet MS" w:hAnsi="Trebuchet MS"/>
          <w:szCs w:val="22"/>
        </w:rPr>
        <w:t xml:space="preserve">Whether there should be phased implementation is likely to depend in part on what the final regime looks like. It might be beneficial to have overlapping periods where a firm can report </w:t>
      </w:r>
      <w:r w:rsidRPr="00704210">
        <w:rPr>
          <w:rFonts w:ascii="Trebuchet MS" w:hAnsi="Trebuchet MS"/>
          <w:szCs w:val="22"/>
        </w:rPr>
        <w:lastRenderedPageBreak/>
        <w:t xml:space="preserve">under the old or new regime, rather than a cliff-edge date.  If the new regime is more proportionate, this will allow firms who are ready earlier to benefit, while also giving sufficient time for those firms who need longer to implement the changes.  </w:t>
      </w:r>
    </w:p>
    <w:p w14:paraId="4ED309D0" w14:textId="77777777" w:rsidR="00D7085E" w:rsidRPr="00704210" w:rsidRDefault="00D7085E" w:rsidP="00D7085E">
      <w:pPr>
        <w:rPr>
          <w:rFonts w:ascii="Trebuchet MS" w:hAnsi="Trebuchet MS"/>
          <w:szCs w:val="22"/>
        </w:rPr>
      </w:pPr>
      <w:r>
        <w:rPr>
          <w:rFonts w:ascii="Trebuchet MS" w:hAnsi="Trebuchet MS"/>
          <w:szCs w:val="22"/>
        </w:rPr>
        <w:t>Finally, i</w:t>
      </w:r>
      <w:r w:rsidRPr="00704210">
        <w:rPr>
          <w:rFonts w:ascii="Trebuchet MS" w:hAnsi="Trebuchet MS"/>
          <w:szCs w:val="22"/>
        </w:rPr>
        <w:t>t should be made clear that firms are not required to re-submit or update any reports validly submitted under the old regime.</w:t>
      </w:r>
    </w:p>
    <w:bookmarkEnd w:id="14"/>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6B257BAB" w14:textId="011071B1" w:rsidR="00706663" w:rsidRPr="00704210" w:rsidRDefault="00D7085E" w:rsidP="00706663">
      <w:pPr>
        <w:rPr>
          <w:rFonts w:ascii="Trebuchet MS" w:hAnsi="Trebuchet MS"/>
          <w:szCs w:val="22"/>
        </w:rPr>
      </w:pPr>
      <w:permStart w:id="1380926179" w:edGrp="everyone"/>
      <w:r w:rsidRPr="00EA44A2">
        <w:rPr>
          <w:rFonts w:ascii="Trebuchet MS" w:hAnsi="Trebuchet MS"/>
          <w:szCs w:val="22"/>
        </w:rPr>
        <w:t>Yes, provided this standard has already been widely adopted by national regulators. While we see potential synergies, this would only be relevant if already used</w:t>
      </w:r>
      <w:r w:rsidR="00706663" w:rsidRPr="00704210">
        <w:rPr>
          <w:rFonts w:ascii="Trebuchet MS" w:hAnsi="Trebuchet MS"/>
          <w:szCs w:val="22"/>
        </w:rPr>
        <w:t>.</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107648DA" w14:textId="77777777" w:rsidR="00D7085E" w:rsidRPr="00D97C0B" w:rsidRDefault="00D7085E" w:rsidP="00D7085E">
      <w:pPr>
        <w:rPr>
          <w:rFonts w:ascii="Trebuchet MS" w:hAnsi="Trebuchet MS"/>
          <w:szCs w:val="22"/>
        </w:rPr>
      </w:pPr>
      <w:bookmarkStart w:id="15" w:name="_Hlk209081813"/>
      <w:permStart w:id="158558208" w:edGrp="everyone"/>
      <w:r>
        <w:rPr>
          <w:rFonts w:ascii="Trebuchet MS" w:hAnsi="Trebuchet MS"/>
          <w:szCs w:val="22"/>
        </w:rPr>
        <w:t>Beyond the issue of the use of different syntaxes, we would like to point out that, i</w:t>
      </w:r>
      <w:r w:rsidRPr="00D97C0B">
        <w:rPr>
          <w:rFonts w:ascii="Trebuchet MS" w:hAnsi="Trebuchet MS"/>
          <w:szCs w:val="22"/>
        </w:rPr>
        <w:t>n some countries, data collection remains non-digitised which is causing efficiency concerns. For example, in Czech Republic, reporting via the CNB portal still requires XML/XBRL manual upload.</w:t>
      </w:r>
    </w:p>
    <w:bookmarkEnd w:id="15"/>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lastRenderedPageBreak/>
        <w:t>&lt;ESMA_QUESTION_ICFD_15&gt;</w:t>
      </w:r>
    </w:p>
    <w:p w14:paraId="49D27920" w14:textId="77777777" w:rsidR="00D7085E" w:rsidRPr="00EA44A2" w:rsidRDefault="00D7085E" w:rsidP="00D7085E">
      <w:pPr>
        <w:rPr>
          <w:rFonts w:ascii="Trebuchet MS" w:hAnsi="Trebuchet MS"/>
          <w:szCs w:val="22"/>
        </w:rPr>
      </w:pPr>
      <w:bookmarkStart w:id="16" w:name="_Hlk209081836"/>
      <w:permStart w:id="1149514066" w:edGrp="everyone"/>
      <w:r w:rsidRPr="00EA44A2">
        <w:rPr>
          <w:rFonts w:ascii="Trebuchet MS" w:hAnsi="Trebuchet MS"/>
          <w:szCs w:val="22"/>
        </w:rPr>
        <w:t>No.</w:t>
      </w:r>
      <w:r>
        <w:rPr>
          <w:rFonts w:ascii="Trebuchet MS" w:hAnsi="Trebuchet MS"/>
          <w:szCs w:val="22"/>
        </w:rPr>
        <w:t xml:space="preserve"> This type of reporting is neither useful in a private equity context- nor even potentially feasible to put in place. Such type of granularity could only be relevant for publicly listed securities. Even if managers provided NCAs </w:t>
      </w:r>
      <w:r w:rsidRPr="00EA44A2">
        <w:rPr>
          <w:rFonts w:ascii="Trebuchet MS" w:hAnsi="Trebuchet MS"/>
          <w:szCs w:val="22"/>
        </w:rPr>
        <w:t xml:space="preserve">with a list of all investment holdings with no further data crunching, this would </w:t>
      </w:r>
      <w:r>
        <w:rPr>
          <w:rFonts w:ascii="Trebuchet MS" w:hAnsi="Trebuchet MS"/>
          <w:szCs w:val="22"/>
        </w:rPr>
        <w:t>still give no meaningful information</w:t>
      </w:r>
      <w:r w:rsidRPr="00EA44A2">
        <w:rPr>
          <w:rFonts w:ascii="Trebuchet MS" w:hAnsi="Trebuchet MS"/>
          <w:szCs w:val="22"/>
        </w:rPr>
        <w:t xml:space="preserve"> to NCAs. </w:t>
      </w:r>
    </w:p>
    <w:p w14:paraId="2A7DA628" w14:textId="77777777" w:rsidR="00D7085E" w:rsidRDefault="00D7085E" w:rsidP="00D7085E">
      <w:pPr>
        <w:spacing w:after="0"/>
        <w:rPr>
          <w:rFonts w:ascii="Trebuchet MS" w:hAnsi="Trebuchet MS"/>
          <w:szCs w:val="22"/>
        </w:rPr>
      </w:pPr>
      <w:r w:rsidRPr="00EA44A2">
        <w:rPr>
          <w:rFonts w:ascii="Trebuchet MS" w:hAnsi="Trebuchet MS"/>
          <w:szCs w:val="22"/>
        </w:rPr>
        <w:t xml:space="preserve">As a </w:t>
      </w:r>
      <w:r>
        <w:rPr>
          <w:rFonts w:ascii="Trebuchet MS" w:hAnsi="Trebuchet MS"/>
          <w:szCs w:val="22"/>
        </w:rPr>
        <w:t xml:space="preserve">way of </w:t>
      </w:r>
      <w:r w:rsidRPr="00EA44A2">
        <w:rPr>
          <w:rFonts w:ascii="Trebuchet MS" w:hAnsi="Trebuchet MS"/>
          <w:szCs w:val="22"/>
        </w:rPr>
        <w:t>background, private equity deals often comprise a relatively small number of high value transactions. As there is no "look through" in reporting</w:t>
      </w:r>
      <w:r>
        <w:rPr>
          <w:rFonts w:ascii="Trebuchet MS" w:hAnsi="Trebuchet MS"/>
          <w:szCs w:val="22"/>
        </w:rPr>
        <w:t xml:space="preserve"> (the investor makes an investment in a fund, not in underlying companies)</w:t>
      </w:r>
      <w:r w:rsidRPr="00EA44A2">
        <w:rPr>
          <w:rFonts w:ascii="Trebuchet MS" w:hAnsi="Trebuchet MS"/>
          <w:szCs w:val="22"/>
        </w:rPr>
        <w:t xml:space="preserve">, the relevant exposure reported is likely to be of an intermediate vehicle in a PE acquisition stack (i.e. </w:t>
      </w:r>
      <w:proofErr w:type="spellStart"/>
      <w:r w:rsidRPr="00EA44A2">
        <w:rPr>
          <w:rFonts w:ascii="Trebuchet MS" w:hAnsi="Trebuchet MS"/>
          <w:szCs w:val="22"/>
        </w:rPr>
        <w:t>bidco</w:t>
      </w:r>
      <w:proofErr w:type="spellEnd"/>
      <w:r w:rsidRPr="00EA44A2">
        <w:rPr>
          <w:rFonts w:ascii="Trebuchet MS" w:hAnsi="Trebuchet MS"/>
          <w:szCs w:val="22"/>
        </w:rPr>
        <w:t>), as opposed to a house entity</w:t>
      </w:r>
      <w:r>
        <w:rPr>
          <w:rFonts w:ascii="Trebuchet MS" w:hAnsi="Trebuchet MS"/>
          <w:szCs w:val="22"/>
        </w:rPr>
        <w:t>.</w:t>
      </w:r>
    </w:p>
    <w:p w14:paraId="315C04BB" w14:textId="77777777" w:rsidR="00D7085E" w:rsidRDefault="00D7085E" w:rsidP="00D7085E">
      <w:pPr>
        <w:spacing w:after="0"/>
        <w:rPr>
          <w:rFonts w:ascii="Trebuchet MS" w:hAnsi="Trebuchet MS"/>
          <w:szCs w:val="22"/>
        </w:rPr>
      </w:pPr>
    </w:p>
    <w:p w14:paraId="322E3641" w14:textId="77777777" w:rsidR="00D7085E" w:rsidRDefault="00D7085E" w:rsidP="00D7085E">
      <w:pPr>
        <w:spacing w:after="0"/>
        <w:rPr>
          <w:rFonts w:ascii="Trebuchet MS" w:hAnsi="Trebuchet MS"/>
          <w:szCs w:val="22"/>
        </w:rPr>
      </w:pPr>
      <w:r>
        <w:rPr>
          <w:rFonts w:ascii="Trebuchet MS" w:hAnsi="Trebuchet MS"/>
          <w:szCs w:val="22"/>
        </w:rPr>
        <w:t>This</w:t>
      </w:r>
      <w:r w:rsidRPr="00EA44A2">
        <w:rPr>
          <w:rFonts w:ascii="Trebuchet MS" w:hAnsi="Trebuchet MS"/>
          <w:szCs w:val="22"/>
        </w:rPr>
        <w:t xml:space="preserve"> is unlikely to be very illuminating for NCAs and risks creating further misconceptions around </w:t>
      </w:r>
      <w:r>
        <w:rPr>
          <w:rFonts w:ascii="Trebuchet MS" w:hAnsi="Trebuchet MS"/>
          <w:szCs w:val="22"/>
        </w:rPr>
        <w:t>private equity</w:t>
      </w:r>
      <w:r w:rsidRPr="00EA44A2">
        <w:rPr>
          <w:rFonts w:ascii="Trebuchet MS" w:hAnsi="Trebuchet MS"/>
          <w:szCs w:val="22"/>
        </w:rPr>
        <w:t xml:space="preserve"> house risk and exposure</w:t>
      </w:r>
      <w:r>
        <w:rPr>
          <w:rFonts w:ascii="Trebuchet MS" w:hAnsi="Trebuchet MS"/>
          <w:szCs w:val="22"/>
        </w:rPr>
        <w:t xml:space="preserve"> (similar to reporting on leverage of portfolio companies, hence its exclusion under AIFMFD Article 6.3)</w:t>
      </w:r>
      <w:r w:rsidRPr="00EA44A2">
        <w:rPr>
          <w:rFonts w:ascii="Trebuchet MS" w:hAnsi="Trebuchet MS"/>
          <w:szCs w:val="22"/>
        </w:rPr>
        <w:t xml:space="preserve">.  Private equity managers are likely to face </w:t>
      </w:r>
      <w:r>
        <w:rPr>
          <w:rFonts w:ascii="Trebuchet MS" w:hAnsi="Trebuchet MS"/>
          <w:szCs w:val="22"/>
        </w:rPr>
        <w:t xml:space="preserve">strong </w:t>
      </w:r>
      <w:r w:rsidRPr="00EA44A2">
        <w:rPr>
          <w:rFonts w:ascii="Trebuchet MS" w:hAnsi="Trebuchet MS"/>
          <w:szCs w:val="22"/>
        </w:rPr>
        <w:t xml:space="preserve">operational difficulties with reporting data instrument-level exposures, especially if the typical method of identifying instruments is via ISINs, etc., </w:t>
      </w:r>
      <w:r>
        <w:rPr>
          <w:rFonts w:ascii="Trebuchet MS" w:hAnsi="Trebuchet MS"/>
          <w:szCs w:val="22"/>
        </w:rPr>
        <w:t>as these</w:t>
      </w:r>
      <w:r w:rsidRPr="00EA44A2">
        <w:rPr>
          <w:rFonts w:ascii="Trebuchet MS" w:hAnsi="Trebuchet MS"/>
          <w:szCs w:val="22"/>
        </w:rPr>
        <w:t xml:space="preserve"> are not ordinarily used in a private equity context.</w:t>
      </w:r>
    </w:p>
    <w:p w14:paraId="31E4178F" w14:textId="77777777" w:rsidR="00D7085E" w:rsidRDefault="00D7085E" w:rsidP="00D7085E">
      <w:pPr>
        <w:spacing w:after="0"/>
        <w:rPr>
          <w:rFonts w:ascii="Trebuchet MS" w:hAnsi="Trebuchet MS"/>
          <w:szCs w:val="22"/>
        </w:rPr>
      </w:pPr>
    </w:p>
    <w:p w14:paraId="28C8BC4A" w14:textId="2E7E3A20" w:rsidR="00706663" w:rsidRPr="00D7085E" w:rsidRDefault="00D7085E" w:rsidP="00706663">
      <w:pPr>
        <w:rPr>
          <w:rFonts w:ascii="Calibri" w:eastAsia="Aptos" w:hAnsi="Calibri" w:cs="Calibri"/>
          <w:color w:val="0F4761"/>
          <w:szCs w:val="22"/>
        </w:rPr>
      </w:pPr>
      <w:r>
        <w:rPr>
          <w:rFonts w:ascii="Trebuchet MS" w:hAnsi="Trebuchet MS"/>
          <w:szCs w:val="22"/>
        </w:rPr>
        <w:t xml:space="preserve">If ESMA considers moving forward with this, it </w:t>
      </w:r>
      <w:r w:rsidRPr="00EA44A2">
        <w:rPr>
          <w:rFonts w:ascii="Trebuchet MS" w:hAnsi="Trebuchet MS"/>
          <w:szCs w:val="22"/>
        </w:rPr>
        <w:t>should</w:t>
      </w:r>
      <w:r>
        <w:rPr>
          <w:rFonts w:ascii="Trebuchet MS" w:hAnsi="Trebuchet MS"/>
          <w:szCs w:val="22"/>
        </w:rPr>
        <w:t xml:space="preserve"> therefore</w:t>
      </w:r>
      <w:r w:rsidRPr="00EA44A2">
        <w:rPr>
          <w:rFonts w:ascii="Trebuchet MS" w:hAnsi="Trebuchet MS"/>
          <w:szCs w:val="22"/>
        </w:rPr>
        <w:t xml:space="preserve"> exclud</w:t>
      </w:r>
      <w:r>
        <w:rPr>
          <w:rFonts w:ascii="Trebuchet MS" w:hAnsi="Trebuchet MS"/>
          <w:szCs w:val="22"/>
        </w:rPr>
        <w:t>e</w:t>
      </w:r>
      <w:r w:rsidRPr="00EA44A2">
        <w:rPr>
          <w:rFonts w:ascii="Trebuchet MS" w:hAnsi="Trebuchet MS"/>
          <w:szCs w:val="22"/>
        </w:rPr>
        <w:t xml:space="preserve"> </w:t>
      </w:r>
      <w:r>
        <w:rPr>
          <w:rFonts w:ascii="Trebuchet MS" w:hAnsi="Trebuchet MS"/>
          <w:szCs w:val="22"/>
        </w:rPr>
        <w:t>private equity firms – and other similar firms – from any increase of granularity – and consider this as an example of situation where consistency of reporting would not give meaningful results</w:t>
      </w:r>
      <w:bookmarkEnd w:id="16"/>
      <w:r w:rsidR="00706663" w:rsidRPr="00D97C0B">
        <w:rPr>
          <w:rFonts w:ascii="Trebuchet MS" w:hAnsi="Trebuchet MS"/>
          <w:szCs w:val="22"/>
        </w:rPr>
        <w:t>.</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3591B088" w14:textId="77777777" w:rsidR="00706663" w:rsidRPr="00EA44A2" w:rsidRDefault="00706663" w:rsidP="00706663">
      <w:pPr>
        <w:rPr>
          <w:rFonts w:ascii="Trebuchet MS" w:hAnsi="Trebuchet MS"/>
          <w:szCs w:val="22"/>
        </w:rPr>
      </w:pPr>
      <w:permStart w:id="484980599" w:edGrp="everyone"/>
      <w:r w:rsidRPr="00EA44A2">
        <w:rPr>
          <w:rFonts w:ascii="Trebuchet MS" w:hAnsi="Trebuchet MS"/>
          <w:szCs w:val="22"/>
        </w:rPr>
        <w:t>No.</w:t>
      </w:r>
      <w:r>
        <w:rPr>
          <w:rFonts w:ascii="Trebuchet MS" w:hAnsi="Trebuchet MS"/>
          <w:szCs w:val="22"/>
        </w:rPr>
        <w:t xml:space="preserve"> This type of reporting is neither useful in a private equity context- nor even potentially feasible to put in place. Such type of granularity could only be relevant for publicly listed securities. Even if managers provided NCAs </w:t>
      </w:r>
      <w:r w:rsidRPr="00EA44A2">
        <w:rPr>
          <w:rFonts w:ascii="Trebuchet MS" w:hAnsi="Trebuchet MS"/>
          <w:szCs w:val="22"/>
        </w:rPr>
        <w:t xml:space="preserve">with a list of all investment holdings with no further data crunching, this would </w:t>
      </w:r>
      <w:r>
        <w:rPr>
          <w:rFonts w:ascii="Trebuchet MS" w:hAnsi="Trebuchet MS"/>
          <w:szCs w:val="22"/>
        </w:rPr>
        <w:t>still give no meaningful information</w:t>
      </w:r>
      <w:r w:rsidRPr="00EA44A2">
        <w:rPr>
          <w:rFonts w:ascii="Trebuchet MS" w:hAnsi="Trebuchet MS"/>
          <w:szCs w:val="22"/>
        </w:rPr>
        <w:t xml:space="preserve"> to NCAs. </w:t>
      </w:r>
    </w:p>
    <w:p w14:paraId="312E3330" w14:textId="77777777" w:rsidR="00706663" w:rsidRDefault="00706663" w:rsidP="00706663">
      <w:pPr>
        <w:spacing w:after="0"/>
        <w:rPr>
          <w:rFonts w:ascii="Trebuchet MS" w:hAnsi="Trebuchet MS"/>
          <w:szCs w:val="22"/>
        </w:rPr>
      </w:pPr>
      <w:r w:rsidRPr="00EA44A2">
        <w:rPr>
          <w:rFonts w:ascii="Trebuchet MS" w:hAnsi="Trebuchet MS"/>
          <w:szCs w:val="22"/>
        </w:rPr>
        <w:t xml:space="preserve">As a </w:t>
      </w:r>
      <w:r>
        <w:rPr>
          <w:rFonts w:ascii="Trebuchet MS" w:hAnsi="Trebuchet MS"/>
          <w:szCs w:val="22"/>
        </w:rPr>
        <w:t xml:space="preserve">way of </w:t>
      </w:r>
      <w:r w:rsidRPr="00EA44A2">
        <w:rPr>
          <w:rFonts w:ascii="Trebuchet MS" w:hAnsi="Trebuchet MS"/>
          <w:szCs w:val="22"/>
        </w:rPr>
        <w:t>background, private equity deals often comprise a relatively small number of high value transactions. As there is no "look through" in reporting</w:t>
      </w:r>
      <w:r>
        <w:rPr>
          <w:rFonts w:ascii="Trebuchet MS" w:hAnsi="Trebuchet MS"/>
          <w:szCs w:val="22"/>
        </w:rPr>
        <w:t xml:space="preserve"> (the investor makes an investment in a fund, not in underlying companies)</w:t>
      </w:r>
      <w:r w:rsidRPr="00EA44A2">
        <w:rPr>
          <w:rFonts w:ascii="Trebuchet MS" w:hAnsi="Trebuchet MS"/>
          <w:szCs w:val="22"/>
        </w:rPr>
        <w:t xml:space="preserve">, the relevant exposure reported is likely to be of an intermediate vehicle in a PE acquisition stack (i.e. </w:t>
      </w:r>
      <w:proofErr w:type="spellStart"/>
      <w:r w:rsidRPr="00EA44A2">
        <w:rPr>
          <w:rFonts w:ascii="Trebuchet MS" w:hAnsi="Trebuchet MS"/>
          <w:szCs w:val="22"/>
        </w:rPr>
        <w:t>bidco</w:t>
      </w:r>
      <w:proofErr w:type="spellEnd"/>
      <w:r w:rsidRPr="00EA44A2">
        <w:rPr>
          <w:rFonts w:ascii="Trebuchet MS" w:hAnsi="Trebuchet MS"/>
          <w:szCs w:val="22"/>
        </w:rPr>
        <w:t>), as opposed to a house entity</w:t>
      </w:r>
      <w:r>
        <w:rPr>
          <w:rFonts w:ascii="Trebuchet MS" w:hAnsi="Trebuchet MS"/>
          <w:szCs w:val="22"/>
        </w:rPr>
        <w:t>.</w:t>
      </w:r>
    </w:p>
    <w:p w14:paraId="546E93D9" w14:textId="77777777" w:rsidR="00706663" w:rsidRDefault="00706663" w:rsidP="00706663">
      <w:pPr>
        <w:spacing w:after="0"/>
        <w:rPr>
          <w:rFonts w:ascii="Trebuchet MS" w:hAnsi="Trebuchet MS"/>
          <w:szCs w:val="22"/>
        </w:rPr>
      </w:pPr>
    </w:p>
    <w:p w14:paraId="312ADCC0" w14:textId="77777777" w:rsidR="00706663" w:rsidRDefault="00706663" w:rsidP="00706663">
      <w:pPr>
        <w:spacing w:after="0"/>
        <w:rPr>
          <w:rFonts w:ascii="Trebuchet MS" w:hAnsi="Trebuchet MS"/>
          <w:szCs w:val="22"/>
        </w:rPr>
      </w:pPr>
      <w:r>
        <w:rPr>
          <w:rFonts w:ascii="Trebuchet MS" w:hAnsi="Trebuchet MS"/>
          <w:szCs w:val="22"/>
        </w:rPr>
        <w:lastRenderedPageBreak/>
        <w:t>This</w:t>
      </w:r>
      <w:r w:rsidRPr="00EA44A2">
        <w:rPr>
          <w:rFonts w:ascii="Trebuchet MS" w:hAnsi="Trebuchet MS"/>
          <w:szCs w:val="22"/>
        </w:rPr>
        <w:t xml:space="preserve"> is unlikely to be very illuminating for NCAs and risks creating further misconceptions around </w:t>
      </w:r>
      <w:r>
        <w:rPr>
          <w:rFonts w:ascii="Trebuchet MS" w:hAnsi="Trebuchet MS"/>
          <w:szCs w:val="22"/>
        </w:rPr>
        <w:t>private equity</w:t>
      </w:r>
      <w:r w:rsidRPr="00EA44A2">
        <w:rPr>
          <w:rFonts w:ascii="Trebuchet MS" w:hAnsi="Trebuchet MS"/>
          <w:szCs w:val="22"/>
        </w:rPr>
        <w:t xml:space="preserve"> house risk and exposure</w:t>
      </w:r>
      <w:r>
        <w:rPr>
          <w:rFonts w:ascii="Trebuchet MS" w:hAnsi="Trebuchet MS"/>
          <w:szCs w:val="22"/>
        </w:rPr>
        <w:t xml:space="preserve"> (similar to reporting on leverage of portfolio companies, hence its exclusion under AIFMFD Article 6.3)</w:t>
      </w:r>
      <w:r w:rsidRPr="00EA44A2">
        <w:rPr>
          <w:rFonts w:ascii="Trebuchet MS" w:hAnsi="Trebuchet MS"/>
          <w:szCs w:val="22"/>
        </w:rPr>
        <w:t xml:space="preserve">.  Private equity managers are likely to face </w:t>
      </w:r>
      <w:r>
        <w:rPr>
          <w:rFonts w:ascii="Trebuchet MS" w:hAnsi="Trebuchet MS"/>
          <w:szCs w:val="22"/>
        </w:rPr>
        <w:t xml:space="preserve">strong </w:t>
      </w:r>
      <w:r w:rsidRPr="00EA44A2">
        <w:rPr>
          <w:rFonts w:ascii="Trebuchet MS" w:hAnsi="Trebuchet MS"/>
          <w:szCs w:val="22"/>
        </w:rPr>
        <w:t xml:space="preserve">operational difficulties with reporting data instrument-level exposures, especially if the typical method of identifying instruments is via ISINs, etc., </w:t>
      </w:r>
      <w:r>
        <w:rPr>
          <w:rFonts w:ascii="Trebuchet MS" w:hAnsi="Trebuchet MS"/>
          <w:szCs w:val="22"/>
        </w:rPr>
        <w:t>as these</w:t>
      </w:r>
      <w:r w:rsidRPr="00EA44A2">
        <w:rPr>
          <w:rFonts w:ascii="Trebuchet MS" w:hAnsi="Trebuchet MS"/>
          <w:szCs w:val="22"/>
        </w:rPr>
        <w:t xml:space="preserve"> are not ordinarily used in a private equity context.</w:t>
      </w:r>
    </w:p>
    <w:p w14:paraId="54638153" w14:textId="77777777" w:rsidR="00706663" w:rsidRDefault="00706663" w:rsidP="00706663">
      <w:pPr>
        <w:spacing w:after="0"/>
        <w:rPr>
          <w:rFonts w:ascii="Trebuchet MS" w:hAnsi="Trebuchet MS"/>
          <w:szCs w:val="22"/>
        </w:rPr>
      </w:pPr>
    </w:p>
    <w:p w14:paraId="08652340" w14:textId="77777777" w:rsidR="00706663" w:rsidRPr="00F10C25" w:rsidRDefault="00706663" w:rsidP="00706663">
      <w:pPr>
        <w:rPr>
          <w:rFonts w:ascii="Calibri" w:eastAsia="Aptos" w:hAnsi="Calibri" w:cs="Calibri"/>
          <w:color w:val="0F4761"/>
          <w:szCs w:val="22"/>
        </w:rPr>
      </w:pPr>
      <w:r>
        <w:rPr>
          <w:rFonts w:ascii="Trebuchet MS" w:hAnsi="Trebuchet MS"/>
          <w:szCs w:val="22"/>
        </w:rPr>
        <w:t xml:space="preserve">If ESMA considers moving forward with this, it </w:t>
      </w:r>
      <w:r w:rsidRPr="00EA44A2">
        <w:rPr>
          <w:rFonts w:ascii="Trebuchet MS" w:hAnsi="Trebuchet MS"/>
          <w:szCs w:val="22"/>
        </w:rPr>
        <w:t>should</w:t>
      </w:r>
      <w:r>
        <w:rPr>
          <w:rFonts w:ascii="Trebuchet MS" w:hAnsi="Trebuchet MS"/>
          <w:szCs w:val="22"/>
        </w:rPr>
        <w:t xml:space="preserve"> therefore</w:t>
      </w:r>
      <w:r w:rsidRPr="00EA44A2">
        <w:rPr>
          <w:rFonts w:ascii="Trebuchet MS" w:hAnsi="Trebuchet MS"/>
          <w:szCs w:val="22"/>
        </w:rPr>
        <w:t xml:space="preserve"> exclud</w:t>
      </w:r>
      <w:r>
        <w:rPr>
          <w:rFonts w:ascii="Trebuchet MS" w:hAnsi="Trebuchet MS"/>
          <w:szCs w:val="22"/>
        </w:rPr>
        <w:t>e</w:t>
      </w:r>
      <w:r w:rsidRPr="00EA44A2">
        <w:rPr>
          <w:rFonts w:ascii="Trebuchet MS" w:hAnsi="Trebuchet MS"/>
          <w:szCs w:val="22"/>
        </w:rPr>
        <w:t xml:space="preserve"> </w:t>
      </w:r>
      <w:r>
        <w:rPr>
          <w:rFonts w:ascii="Trebuchet MS" w:hAnsi="Trebuchet MS"/>
          <w:szCs w:val="22"/>
        </w:rPr>
        <w:t xml:space="preserve">private equity firms – and other similar firms – from any increase of granularity – and consider this as an example of situation where consistency of reporting would not give meaningful results. </w:t>
      </w:r>
    </w:p>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2155274C" w14:textId="45419C17" w:rsidR="00D7085E" w:rsidRPr="00EA44A2" w:rsidRDefault="00D7085E" w:rsidP="00D7085E">
      <w:pPr>
        <w:rPr>
          <w:rFonts w:ascii="Trebuchet MS" w:hAnsi="Trebuchet MS"/>
          <w:szCs w:val="22"/>
        </w:rPr>
      </w:pPr>
      <w:bookmarkStart w:id="17" w:name="_Hlk209081853"/>
      <w:permStart w:id="818029234" w:edGrp="everyone"/>
      <w:r>
        <w:rPr>
          <w:rFonts w:ascii="Trebuchet MS" w:hAnsi="Trebuchet MS"/>
          <w:szCs w:val="22"/>
        </w:rPr>
        <w:t>These are</w:t>
      </w:r>
      <w:r>
        <w:rPr>
          <w:rFonts w:ascii="Trebuchet MS" w:hAnsi="Trebuchet MS"/>
          <w:szCs w:val="22"/>
        </w:rPr>
        <w:t xml:space="preserve"> methods irrelevant to the private equity space, for reasons explained in the previous question. </w:t>
      </w:r>
    </w:p>
    <w:bookmarkEnd w:id="17"/>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6CA311FB" w14:textId="77777777" w:rsidR="00F21CF0" w:rsidRDefault="00F21CF0" w:rsidP="00F21CF0">
      <w:permStart w:id="1812282010" w:edGrp="everyone"/>
      <w:r>
        <w:t>TYPE YOUR TEXT HERE</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5ED53AC3" w14:textId="77777777" w:rsidR="00F21CF0" w:rsidRDefault="00F21CF0" w:rsidP="00F21CF0">
      <w:permStart w:id="1815633304" w:edGrp="everyone"/>
      <w:r>
        <w:lastRenderedPageBreak/>
        <w:t>TYPE YOUR TEXT HERE</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337E51A4" w14:textId="77777777" w:rsidR="00706663" w:rsidRPr="00D97C0B" w:rsidRDefault="00706663" w:rsidP="00706663">
      <w:pPr>
        <w:rPr>
          <w:rFonts w:ascii="Trebuchet MS" w:hAnsi="Trebuchet MS"/>
          <w:szCs w:val="22"/>
        </w:rPr>
      </w:pPr>
      <w:permStart w:id="1492545028" w:edGrp="everyone"/>
      <w:r w:rsidRPr="00D97C0B">
        <w:rPr>
          <w:rFonts w:ascii="Trebuchet MS" w:hAnsi="Trebuchet MS"/>
          <w:szCs w:val="22"/>
        </w:rPr>
        <w:t xml:space="preserve">No. </w:t>
      </w:r>
    </w:p>
    <w:p w14:paraId="100ED3AD" w14:textId="77777777" w:rsidR="00706663" w:rsidRPr="00D97C0B" w:rsidRDefault="00706663" w:rsidP="00706663">
      <w:pPr>
        <w:rPr>
          <w:rFonts w:ascii="Trebuchet MS" w:hAnsi="Trebuchet MS"/>
          <w:szCs w:val="22"/>
        </w:rPr>
      </w:pPr>
      <w:r w:rsidRPr="00D97C0B">
        <w:rPr>
          <w:rFonts w:ascii="Trebuchet MS" w:hAnsi="Trebuchet MS"/>
          <w:szCs w:val="22"/>
        </w:rPr>
        <w:t xml:space="preserve">As noted by ESMA, private equity funds have less frequent valuations due to their underlying assets. </w:t>
      </w:r>
    </w:p>
    <w:p w14:paraId="23DB582F" w14:textId="77777777" w:rsidR="00706663" w:rsidRPr="00D97C0B" w:rsidRDefault="00706663" w:rsidP="00706663">
      <w:pPr>
        <w:rPr>
          <w:rFonts w:ascii="Trebuchet MS" w:hAnsi="Trebuchet MS"/>
          <w:szCs w:val="22"/>
        </w:rPr>
      </w:pPr>
      <w:r w:rsidRPr="00D97C0B">
        <w:rPr>
          <w:rFonts w:ascii="Trebuchet MS" w:hAnsi="Trebuchet MS"/>
          <w:szCs w:val="22"/>
        </w:rPr>
        <w:t xml:space="preserve">Ultimately, not requiring a lower reporting frequency to certain types of managers is not so much a question of reporting burden than it is of inherent logic: it </w:t>
      </w:r>
      <w:r>
        <w:rPr>
          <w:rFonts w:ascii="Trebuchet MS" w:hAnsi="Trebuchet MS"/>
          <w:szCs w:val="22"/>
        </w:rPr>
        <w:t>has</w:t>
      </w:r>
      <w:r w:rsidRPr="00D97C0B">
        <w:rPr>
          <w:rFonts w:ascii="Trebuchet MS" w:hAnsi="Trebuchet MS"/>
          <w:szCs w:val="22"/>
        </w:rPr>
        <w:t xml:space="preserve"> </w:t>
      </w:r>
      <w:r>
        <w:rPr>
          <w:rFonts w:ascii="Trebuchet MS" w:hAnsi="Trebuchet MS"/>
          <w:szCs w:val="22"/>
        </w:rPr>
        <w:t>limited</w:t>
      </w:r>
      <w:r w:rsidRPr="00D97C0B">
        <w:rPr>
          <w:rFonts w:ascii="Trebuchet MS" w:hAnsi="Trebuchet MS"/>
          <w:szCs w:val="22"/>
        </w:rPr>
        <w:t xml:space="preserve"> </w:t>
      </w:r>
      <w:r>
        <w:rPr>
          <w:rFonts w:ascii="Trebuchet MS" w:hAnsi="Trebuchet MS"/>
          <w:szCs w:val="22"/>
        </w:rPr>
        <w:t>value</w:t>
      </w:r>
      <w:r w:rsidRPr="00D97C0B">
        <w:rPr>
          <w:rFonts w:ascii="Trebuchet MS" w:hAnsi="Trebuchet MS"/>
          <w:szCs w:val="22"/>
        </w:rPr>
        <w:t xml:space="preserve"> for </w:t>
      </w:r>
      <w:r>
        <w:rPr>
          <w:rFonts w:ascii="Trebuchet MS" w:hAnsi="Trebuchet MS"/>
          <w:szCs w:val="22"/>
        </w:rPr>
        <w:t>the regulator</w:t>
      </w:r>
      <w:r w:rsidRPr="00D97C0B">
        <w:rPr>
          <w:rFonts w:ascii="Trebuchet MS" w:hAnsi="Trebuchet MS"/>
          <w:szCs w:val="22"/>
        </w:rPr>
        <w:t xml:space="preserve"> to require a fund manager that has invested in a private company that will not be sold for several years to require it to do monthly reporting, unless such a fund is offering monthly liquidity to its clients. Doing this would just require a fund manager to request an employee or an external firm to report the same number for several months, with no interest for the regulator as no additional valuation will have been done in the meantime. </w:t>
      </w:r>
    </w:p>
    <w:p w14:paraId="30D2CFBA" w14:textId="77777777" w:rsidR="00706663" w:rsidRPr="00D97C0B" w:rsidRDefault="00706663" w:rsidP="00706663">
      <w:pPr>
        <w:rPr>
          <w:rFonts w:ascii="Trebuchet MS" w:hAnsi="Trebuchet MS"/>
          <w:szCs w:val="22"/>
        </w:rPr>
      </w:pPr>
      <w:r w:rsidRPr="00D97C0B">
        <w:rPr>
          <w:rFonts w:ascii="Trebuchet MS" w:hAnsi="Trebuchet MS"/>
          <w:szCs w:val="22"/>
        </w:rPr>
        <w:t xml:space="preserve">Would ESMA design a regime that better recognise the inherent features of long-term closed-ended funds - expressly recognising the lower valuation frequency that is needed in the case of long-term underlying assets, this could represent a significant positive step in a context where EU lawmakers seek to develop the offer of these funds, given their benefits for the EU economy. </w:t>
      </w:r>
    </w:p>
    <w:p w14:paraId="2277E571" w14:textId="77777777" w:rsidR="00706663" w:rsidRPr="00D97C0B" w:rsidRDefault="00706663" w:rsidP="00706663">
      <w:pPr>
        <w:rPr>
          <w:rFonts w:ascii="Trebuchet MS" w:hAnsi="Trebuchet MS"/>
          <w:szCs w:val="22"/>
        </w:rPr>
      </w:pPr>
      <w:r w:rsidRPr="00D97C0B">
        <w:rPr>
          <w:rFonts w:ascii="Trebuchet MS" w:hAnsi="Trebuchet MS"/>
          <w:szCs w:val="22"/>
        </w:rPr>
        <w:t>We also note that the requirement</w:t>
      </w:r>
      <w:r w:rsidRPr="00540FED">
        <w:rPr>
          <w:rFonts w:ascii="Trebuchet MS" w:hAnsi="Trebuchet MS"/>
          <w:szCs w:val="22"/>
        </w:rPr>
        <w:t xml:space="preserve"> to report to competent authorities within 30 days (as per Article 110 of the AIFMD Delegated Regulation) is impractical for private equity fund managers and is not well</w:t>
      </w:r>
      <w:r w:rsidRPr="00540FED">
        <w:rPr>
          <w:rFonts w:ascii="Trebuchet MS" w:hAnsi="Trebuchet MS"/>
          <w:szCs w:val="22"/>
        </w:rPr>
        <w:noBreakHyphen/>
        <w:t xml:space="preserve">tailored to the illiquid nature of private equity investments and to the practices of the private equity industry. </w:t>
      </w: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52465C4B" w14:textId="37247E41" w:rsidR="00706663" w:rsidRPr="00D97C0B" w:rsidRDefault="00706663" w:rsidP="00706663">
      <w:pPr>
        <w:rPr>
          <w:rFonts w:ascii="Trebuchet MS" w:hAnsi="Trebuchet MS"/>
          <w:szCs w:val="22"/>
        </w:rPr>
      </w:pPr>
      <w:permStart w:id="342758864" w:edGrp="everyone"/>
      <w:r>
        <w:rPr>
          <w:rFonts w:ascii="Trebuchet MS" w:hAnsi="Trebuchet MS"/>
          <w:szCs w:val="22"/>
        </w:rPr>
        <w:lastRenderedPageBreak/>
        <w:t>See our answer to Q20.</w:t>
      </w:r>
    </w:p>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0DED289B" w14:textId="77777777" w:rsidR="00F21CF0" w:rsidRDefault="00F21CF0" w:rsidP="00F21CF0">
      <w:permStart w:id="1611232175" w:edGrp="everyone"/>
      <w:r>
        <w:t>TYPE YOUR TEXT HERE</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4A944AD3" w14:textId="77777777" w:rsidR="00D7085E" w:rsidRPr="00D97C0B" w:rsidRDefault="00D7085E" w:rsidP="00D7085E">
      <w:pPr>
        <w:rPr>
          <w:rFonts w:ascii="Trebuchet MS" w:hAnsi="Trebuchet MS"/>
          <w:szCs w:val="22"/>
        </w:rPr>
      </w:pPr>
      <w:permStart w:id="1099658953" w:edGrp="everyone"/>
      <w:r w:rsidRPr="00D97C0B">
        <w:rPr>
          <w:rFonts w:ascii="Trebuchet MS" w:hAnsi="Trebuchet MS"/>
          <w:szCs w:val="22"/>
        </w:rPr>
        <w:t xml:space="preserve">As mentioned above, daily reporting requirements </w:t>
      </w:r>
      <w:r>
        <w:rPr>
          <w:rFonts w:ascii="Trebuchet MS" w:hAnsi="Trebuchet MS"/>
          <w:szCs w:val="22"/>
        </w:rPr>
        <w:t>are always</w:t>
      </w:r>
      <w:r w:rsidRPr="00D97C0B">
        <w:rPr>
          <w:rFonts w:ascii="Trebuchet MS" w:hAnsi="Trebuchet MS"/>
          <w:szCs w:val="22"/>
        </w:rPr>
        <w:t xml:space="preserve"> irrelevant in a private equity context</w:t>
      </w:r>
      <w:r>
        <w:rPr>
          <w:rFonts w:ascii="Trebuchet MS" w:hAnsi="Trebuchet MS"/>
          <w:szCs w:val="22"/>
        </w:rPr>
        <w:t xml:space="preserve"> and should never be imposed, including by NCAs</w:t>
      </w:r>
      <w:r w:rsidRPr="00D97C0B">
        <w:rPr>
          <w:rFonts w:ascii="Trebuchet MS" w:hAnsi="Trebuchet MS"/>
          <w:szCs w:val="22"/>
        </w:rPr>
        <w:t xml:space="preserve">. </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555EA4A2" w14:textId="77777777" w:rsidR="00F21CF0" w:rsidRDefault="00F21CF0" w:rsidP="00F21CF0">
      <w:permStart w:id="1735994076" w:edGrp="everyone"/>
      <w:r>
        <w:t>TYPE YOUR TEXT HERE</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3E6F" w14:textId="77777777" w:rsidR="00370C90" w:rsidRDefault="00370C90" w:rsidP="00F716D4">
      <w:r>
        <w:separator/>
      </w:r>
    </w:p>
    <w:p w14:paraId="0749F0C9" w14:textId="77777777" w:rsidR="00370C90" w:rsidRDefault="00370C90" w:rsidP="00F716D4"/>
  </w:endnote>
  <w:endnote w:type="continuationSeparator" w:id="0">
    <w:p w14:paraId="320F4B38" w14:textId="77777777" w:rsidR="00370C90" w:rsidRDefault="00370C90" w:rsidP="00F716D4">
      <w:r>
        <w:continuationSeparator/>
      </w:r>
    </w:p>
    <w:p w14:paraId="0FC56762" w14:textId="77777777" w:rsidR="00370C90" w:rsidRDefault="00370C90" w:rsidP="00F716D4"/>
  </w:endnote>
  <w:endnote w:type="continuationNotice" w:id="1">
    <w:p w14:paraId="7C562B97" w14:textId="77777777" w:rsidR="00370C90" w:rsidRDefault="00370C90"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E4B5" w14:textId="77777777" w:rsidR="00370C90" w:rsidRDefault="00370C90" w:rsidP="00F716D4">
      <w:r>
        <w:separator/>
      </w:r>
    </w:p>
    <w:p w14:paraId="5A26BD55" w14:textId="77777777" w:rsidR="00370C90" w:rsidRDefault="00370C90" w:rsidP="00F716D4"/>
  </w:footnote>
  <w:footnote w:type="continuationSeparator" w:id="0">
    <w:p w14:paraId="26CD6EF2" w14:textId="77777777" w:rsidR="00370C90" w:rsidRDefault="00370C90" w:rsidP="00F716D4">
      <w:r>
        <w:continuationSeparator/>
      </w:r>
    </w:p>
    <w:p w14:paraId="32260392" w14:textId="77777777" w:rsidR="00370C90" w:rsidRDefault="00370C90" w:rsidP="00F716D4"/>
  </w:footnote>
  <w:footnote w:type="continuationNotice" w:id="1">
    <w:p w14:paraId="48E53407" w14:textId="77777777" w:rsidR="00370C90" w:rsidRDefault="00370C90"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22566A5"/>
    <w:multiLevelType w:val="hybridMultilevel"/>
    <w:tmpl w:val="94FE66EC"/>
    <w:lvl w:ilvl="0" w:tplc="A99E9ECC">
      <w:start w:val="1"/>
      <w:numFmt w:val="bullet"/>
      <w:lvlText w:val="-"/>
      <w:lvlJc w:val="left"/>
      <w:pPr>
        <w:ind w:left="720" w:hanging="360"/>
      </w:pPr>
      <w:rPr>
        <w:rFonts w:ascii="Trebuchet MS" w:eastAsiaTheme="minorHAnsi" w:hAnsi="Trebuchet M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3F228A6"/>
    <w:multiLevelType w:val="hybridMultilevel"/>
    <w:tmpl w:val="F120D9A4"/>
    <w:lvl w:ilvl="0" w:tplc="4E685BCA">
      <w:numFmt w:val="bullet"/>
      <w:lvlText w:val="•"/>
      <w:lvlJc w:val="left"/>
      <w:pPr>
        <w:ind w:left="1080" w:hanging="720"/>
      </w:pPr>
      <w:rPr>
        <w:rFonts w:ascii="Trebuchet MS" w:eastAsiaTheme="minorHAnsi" w:hAnsi="Trebuchet M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7"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2" w15:restartNumberingAfterBreak="0">
    <w:nsid w:val="6338391D"/>
    <w:multiLevelType w:val="hybridMultilevel"/>
    <w:tmpl w:val="C3CCEB20"/>
    <w:lvl w:ilvl="0" w:tplc="9C922752">
      <w:numFmt w:val="bullet"/>
      <w:lvlText w:val="-"/>
      <w:lvlJc w:val="left"/>
      <w:pPr>
        <w:ind w:left="720" w:hanging="360"/>
      </w:pPr>
      <w:rPr>
        <w:rFonts w:ascii="Trebuchet MS" w:eastAsiaTheme="minorHAnsi" w:hAnsi="Trebuchet M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9510B40"/>
    <w:multiLevelType w:val="hybridMultilevel"/>
    <w:tmpl w:val="A50059B8"/>
    <w:lvl w:ilvl="0" w:tplc="4E685BCA">
      <w:numFmt w:val="bullet"/>
      <w:lvlText w:val="•"/>
      <w:lvlJc w:val="left"/>
      <w:pPr>
        <w:ind w:left="1080" w:hanging="720"/>
      </w:pPr>
      <w:rPr>
        <w:rFonts w:ascii="Trebuchet MS" w:eastAsiaTheme="minorHAnsi" w:hAnsi="Trebuchet M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5EF1A29"/>
    <w:multiLevelType w:val="hybridMultilevel"/>
    <w:tmpl w:val="D3B4160A"/>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0" w15:restartNumberingAfterBreak="0">
    <w:nsid w:val="7B0D6EE9"/>
    <w:multiLevelType w:val="hybridMultilevel"/>
    <w:tmpl w:val="C416FDC8"/>
    <w:lvl w:ilvl="0" w:tplc="032AC576">
      <w:start w:val="2"/>
      <w:numFmt w:val="bullet"/>
      <w:lvlText w:val="-"/>
      <w:lvlJc w:val="left"/>
      <w:pPr>
        <w:ind w:left="720" w:hanging="360"/>
      </w:pPr>
      <w:rPr>
        <w:rFonts w:ascii="Calibri" w:eastAsia="Apto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D377D21"/>
    <w:multiLevelType w:val="hybridMultilevel"/>
    <w:tmpl w:val="7F86A2CA"/>
    <w:lvl w:ilvl="0" w:tplc="46C2E9A2">
      <w:start w:val="1"/>
      <w:numFmt w:val="decimal"/>
      <w:lvlText w:val="%1)"/>
      <w:lvlJc w:val="left"/>
      <w:pPr>
        <w:ind w:left="720" w:hanging="360"/>
      </w:pPr>
      <w:rPr>
        <w:rFonts w:hint="default"/>
        <w:u w:val="singl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5"/>
  </w:num>
  <w:num w:numId="2" w16cid:durableId="1769932826">
    <w:abstractNumId w:val="18"/>
  </w:num>
  <w:num w:numId="3" w16cid:durableId="550074866">
    <w:abstractNumId w:val="10"/>
  </w:num>
  <w:num w:numId="4" w16cid:durableId="1881627233">
    <w:abstractNumId w:val="23"/>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1"/>
  </w:num>
  <w:num w:numId="9" w16cid:durableId="1008846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7"/>
  </w:num>
  <w:num w:numId="12" w16cid:durableId="1500659627">
    <w:abstractNumId w:val="30"/>
  </w:num>
  <w:num w:numId="13" w16cid:durableId="1879658227">
    <w:abstractNumId w:val="22"/>
  </w:num>
  <w:num w:numId="14" w16cid:durableId="1495758855">
    <w:abstractNumId w:val="8"/>
  </w:num>
  <w:num w:numId="15" w16cid:durableId="1186556611">
    <w:abstractNumId w:val="1"/>
  </w:num>
  <w:num w:numId="16" w16cid:durableId="679087124">
    <w:abstractNumId w:val="13"/>
  </w:num>
  <w:num w:numId="17" w16cid:durableId="1695498691">
    <w:abstractNumId w:val="14"/>
  </w:num>
  <w:num w:numId="18" w16cid:durableId="1042363640">
    <w:abstractNumId w:val="16"/>
  </w:num>
  <w:num w:numId="19" w16cid:durableId="820345968">
    <w:abstractNumId w:val="26"/>
  </w:num>
  <w:num w:numId="20" w16cid:durableId="1805388212">
    <w:abstractNumId w:val="37"/>
  </w:num>
  <w:num w:numId="21" w16cid:durableId="538709007">
    <w:abstractNumId w:val="25"/>
  </w:num>
  <w:num w:numId="22" w16cid:durableId="104540172">
    <w:abstractNumId w:val="7"/>
  </w:num>
  <w:num w:numId="23" w16cid:durableId="1824349076">
    <w:abstractNumId w:val="29"/>
  </w:num>
  <w:num w:numId="24" w16cid:durableId="672032853">
    <w:abstractNumId w:val="28"/>
  </w:num>
  <w:num w:numId="25" w16cid:durableId="48917541">
    <w:abstractNumId w:val="19"/>
  </w:num>
  <w:num w:numId="26" w16cid:durableId="978925443">
    <w:abstractNumId w:val="33"/>
  </w:num>
  <w:num w:numId="27" w16cid:durableId="1036613928">
    <w:abstractNumId w:val="41"/>
  </w:num>
  <w:num w:numId="28" w16cid:durableId="872039349">
    <w:abstractNumId w:val="5"/>
  </w:num>
  <w:num w:numId="29" w16cid:durableId="924530660">
    <w:abstractNumId w:val="2"/>
  </w:num>
  <w:num w:numId="30" w16cid:durableId="419180233">
    <w:abstractNumId w:val="21"/>
  </w:num>
  <w:num w:numId="31" w16cid:durableId="276761337">
    <w:abstractNumId w:val="20"/>
  </w:num>
  <w:num w:numId="32" w16cid:durableId="1166238383">
    <w:abstractNumId w:val="36"/>
  </w:num>
  <w:num w:numId="33" w16cid:durableId="2076850202">
    <w:abstractNumId w:val="35"/>
  </w:num>
  <w:num w:numId="34" w16cid:durableId="469176496">
    <w:abstractNumId w:val="11"/>
  </w:num>
  <w:num w:numId="35" w16cid:durableId="674843309">
    <w:abstractNumId w:val="17"/>
  </w:num>
  <w:num w:numId="36" w16cid:durableId="1954971501">
    <w:abstractNumId w:val="43"/>
  </w:num>
  <w:num w:numId="37" w16cid:durableId="1880315838">
    <w:abstractNumId w:val="11"/>
    <w:lvlOverride w:ilvl="0">
      <w:startOverride w:val="55"/>
    </w:lvlOverride>
  </w:num>
  <w:num w:numId="38" w16cid:durableId="1961061421">
    <w:abstractNumId w:val="9"/>
  </w:num>
  <w:num w:numId="39" w16cid:durableId="348333223">
    <w:abstractNumId w:val="32"/>
  </w:num>
  <w:num w:numId="40" w16cid:durableId="144470605">
    <w:abstractNumId w:val="40"/>
  </w:num>
  <w:num w:numId="41" w16cid:durableId="1335690098">
    <w:abstractNumId w:val="38"/>
  </w:num>
  <w:num w:numId="42" w16cid:durableId="742068362">
    <w:abstractNumId w:val="24"/>
  </w:num>
  <w:num w:numId="43" w16cid:durableId="15741965">
    <w:abstractNumId w:val="42"/>
  </w:num>
  <w:num w:numId="44" w16cid:durableId="340936407">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669A"/>
    <w:rsid w:val="000E7086"/>
    <w:rsid w:val="000E7C65"/>
    <w:rsid w:val="000F04D2"/>
    <w:rsid w:val="000F55B7"/>
    <w:rsid w:val="000F604F"/>
    <w:rsid w:val="000F7399"/>
    <w:rsid w:val="00101BF1"/>
    <w:rsid w:val="001027F1"/>
    <w:rsid w:val="00104E00"/>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7C1A"/>
    <w:rsid w:val="002301E6"/>
    <w:rsid w:val="00232555"/>
    <w:rsid w:val="00232F90"/>
    <w:rsid w:val="00233B08"/>
    <w:rsid w:val="00233C3B"/>
    <w:rsid w:val="0023499C"/>
    <w:rsid w:val="00234FA7"/>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0C90"/>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57B"/>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5813"/>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AAD"/>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06663"/>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48A7"/>
    <w:rsid w:val="00865B01"/>
    <w:rsid w:val="00866D7A"/>
    <w:rsid w:val="00866EE3"/>
    <w:rsid w:val="00871F04"/>
    <w:rsid w:val="008746C1"/>
    <w:rsid w:val="00880224"/>
    <w:rsid w:val="0088244C"/>
    <w:rsid w:val="008828E1"/>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76"/>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694"/>
    <w:rsid w:val="00983A3C"/>
    <w:rsid w:val="00983EFA"/>
    <w:rsid w:val="00984C15"/>
    <w:rsid w:val="00987829"/>
    <w:rsid w:val="00987F7A"/>
    <w:rsid w:val="00991276"/>
    <w:rsid w:val="009923E7"/>
    <w:rsid w:val="00992697"/>
    <w:rsid w:val="00992D4E"/>
    <w:rsid w:val="009934BB"/>
    <w:rsid w:val="00994621"/>
    <w:rsid w:val="009947FF"/>
    <w:rsid w:val="009949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7595"/>
    <w:rsid w:val="00BE77D3"/>
    <w:rsid w:val="00BF0138"/>
    <w:rsid w:val="00BF114B"/>
    <w:rsid w:val="00BF1620"/>
    <w:rsid w:val="00BF1AC3"/>
    <w:rsid w:val="00BF373A"/>
    <w:rsid w:val="00BF409D"/>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372"/>
    <w:rsid w:val="00C638C2"/>
    <w:rsid w:val="00C651D4"/>
    <w:rsid w:val="00C6669E"/>
    <w:rsid w:val="00C66C6D"/>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819"/>
    <w:rsid w:val="00D67101"/>
    <w:rsid w:val="00D7085E"/>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CDF"/>
    <w:rsid w:val="00DB5EDF"/>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DA7"/>
    <w:rsid w:val="00EE0598"/>
    <w:rsid w:val="00EE311C"/>
    <w:rsid w:val="00EE56FF"/>
    <w:rsid w:val="00EE57EB"/>
    <w:rsid w:val="00EE5886"/>
    <w:rsid w:val="00EE5FBF"/>
    <w:rsid w:val="00EE6472"/>
    <w:rsid w:val="00EE76F2"/>
    <w:rsid w:val="00EF0769"/>
    <w:rsid w:val="00EF0D7C"/>
    <w:rsid w:val="00EF314C"/>
    <w:rsid w:val="00EF383B"/>
    <w:rsid w:val="00EF40E2"/>
    <w:rsid w:val="00EF5A37"/>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E5D01"/>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PRI Bullets,F5 List Paragraph,Dot pt,List Paragraph Char Char Char,Indicator Text,Numbered Para 1"/>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PRI Bullets Char,F5 List Paragraph Char,Dot pt Char"/>
    <w:link w:val="ListParagraph"/>
    <w:uiPriority w:val="34"/>
    <w:qFormat/>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7C5BD5"/>
    <w:pPr>
      <w:numPr>
        <w:numId w:val="34"/>
      </w:numPr>
      <w:contextualSpacing/>
    </w:pPr>
    <w:rPr>
      <w:b/>
      <w:szCs w:val="22"/>
    </w:rPr>
  </w:style>
  <w:style w:type="character" w:customStyle="1" w:styleId="QuestionstyleChar">
    <w:name w:val="Question style Char"/>
    <w:basedOn w:val="DefaultParagraphFont"/>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nvesteurope.eu/media/e1om1evy/invest-europe-response-to-ec-consultation-on-integration-of-eu-capital-markets.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453</Value>
      <Value>329</Value>
    </TaxCatchAll>
    <_dlc_DocId xmlns="d0fb0f98-34f9-4d57-9559-eb8efd17aa5e">ESMA12-2121844265-4923</_dlc_DocId>
    <_dlc_DocIdUrl xmlns="d0fb0f98-34f9-4d57-9559-eb8efd17aa5e">
      <Url>https://securitiesandmarketsauth.sharepoint.com/sites/sherpa-daru/_layouts/15/DocIdRedir.aspx?ID=ESMA12-2121844265-4923</Url>
      <Description>ESMA12-2121844265-4923</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TAs ITSs RTSs: new and amendments</TermName>
          <TermId xmlns="http://schemas.microsoft.com/office/infopath/2007/PartnerControls">cb937b6c-0f1a-40e7-ab35-3044279ac8a7</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f12cd6b-8b2a-4dd7-980a-cc1ae6d63939">
      <Terms xmlns="http://schemas.microsoft.com/office/infopath/2007/PartnerControls"/>
    </lcf76f155ced4ddcb4097134ff3c332f>
    <adfed02cb80f4453940112edc610ae0b xmlns="d0fb0f98-34f9-4d57-9559-eb8efd17aa5e">
      <Terms xmlns="http://schemas.microsoft.com/office/infopath/2007/PartnerControls"/>
    </adfed02cb80f4453940112edc610ae0b>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1" ma:contentTypeDescription="" ma:contentTypeScope="" ma:versionID="5d5a600b8005f30a8a8a29493d1b2031">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defec576b76831d24a326a577fbeb0a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purl.org/dc/elements/1.1/"/>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6f12cd6b-8b2a-4dd7-980a-cc1ae6d63939"/>
    <ds:schemaRef ds:uri="d0fb0f98-34f9-4d57-9559-eb8efd17aa5e"/>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6.xml><?xml version="1.0" encoding="utf-8"?>
<ds:datastoreItem xmlns:ds="http://schemas.openxmlformats.org/officeDocument/2006/customXml" ds:itemID="{D20654FA-91A9-4EDE-BC1D-2B96B399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22</Pages>
  <Words>6046</Words>
  <Characters>33881</Characters>
  <Application>Microsoft Office Word</Application>
  <DocSecurity>8</DocSecurity>
  <Lines>282</Lines>
  <Paragraphs>79</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39848</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Christophe Verboomen</cp:lastModifiedBy>
  <cp:revision>4</cp:revision>
  <cp:lastPrinted>2015-02-18T11:01:00Z</cp:lastPrinted>
  <dcterms:created xsi:type="dcterms:W3CDTF">2025-09-18T07:43:00Z</dcterms:created>
  <dcterms:modified xsi:type="dcterms:W3CDTF">2025-09-18T08:10:00Z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