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0643" w14:textId="77777777" w:rsidR="00D50AF9" w:rsidRDefault="00D50AF9" w:rsidP="00D50AF9">
      <w:bookmarkStart w:id="0" w:name="_Hlk124776001"/>
      <w:bookmarkStart w:id="1" w:name="_Hlk124776067"/>
      <w:bookmarkStart w:id="2" w:name="_Hlk124776338"/>
    </w:p>
    <w:p w14:paraId="7A811C11" w14:textId="77777777" w:rsidR="00D50AF9" w:rsidRDefault="00D50AF9" w:rsidP="00D50AF9"/>
    <w:p w14:paraId="461EAF50" w14:textId="77777777" w:rsidR="00D50AF9" w:rsidRDefault="00D50AF9" w:rsidP="00D50AF9"/>
    <w:p w14:paraId="223862B6" w14:textId="77777777" w:rsidR="00D50AF9" w:rsidRPr="00F716D4" w:rsidRDefault="00D50AF9" w:rsidP="00D50AF9">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682FA101" w14:textId="77777777" w:rsidR="00D50AF9" w:rsidRPr="00F716D4" w:rsidRDefault="00D50AF9" w:rsidP="00D50AF9">
      <w:pPr>
        <w:pStyle w:val="Underrubrik"/>
      </w:pPr>
      <w:r w:rsidRPr="00F716D4">
        <w:rPr>
          <w:noProof/>
        </w:rPr>
        <mc:AlternateContent>
          <mc:Choice Requires="wps">
            <w:drawing>
              <wp:anchor distT="0" distB="0" distL="114300" distR="114300" simplePos="0" relativeHeight="251658240" behindDoc="1" locked="1" layoutInCell="1" allowOverlap="0" wp14:anchorId="524F79D7" wp14:editId="4E02000D">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0"/>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C9621"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1"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D50AF9" w:rsidRPr="00616B9B" w14:paraId="74CAB1A5" w14:textId="77777777" w:rsidTr="00992849">
        <w:trPr>
          <w:trHeight w:hRule="exact" w:val="337"/>
        </w:trPr>
        <w:tc>
          <w:tcPr>
            <w:tcW w:w="9913" w:type="dxa"/>
            <w:tcMar>
              <w:top w:w="142" w:type="dxa"/>
            </w:tcMar>
          </w:tcPr>
          <w:p w14:paraId="064088BF" w14:textId="77777777" w:rsidR="00D50AF9" w:rsidRPr="00616B9B" w:rsidRDefault="00D50AF9" w:rsidP="00992849">
            <w:pPr>
              <w:pStyle w:val="01bDBSubtitle"/>
              <w:rPr>
                <w:rFonts w:ascii="Arial" w:hAnsi="Arial" w:cs="Arial"/>
              </w:rPr>
            </w:pPr>
          </w:p>
        </w:tc>
      </w:tr>
    </w:tbl>
    <w:p w14:paraId="1F0DF1DE" w14:textId="77777777" w:rsidR="00D50AF9" w:rsidRPr="00616B9B" w:rsidRDefault="00D50AF9" w:rsidP="00D50AF9">
      <w:pPr>
        <w:pStyle w:val="05HeadlinenoIndex"/>
        <w:sectPr w:rsidR="00D50AF9" w:rsidRPr="00616B9B" w:rsidSect="00D50AF9">
          <w:headerReference w:type="default" r:id="rId12"/>
          <w:footerReference w:type="default" r:id="rId13"/>
          <w:headerReference w:type="first" r:id="rId14"/>
          <w:pgSz w:w="11906" w:h="16838" w:code="9"/>
          <w:pgMar w:top="1418" w:right="1418" w:bottom="1418" w:left="1418" w:header="709" w:footer="709" w:gutter="0"/>
          <w:cols w:space="708"/>
          <w:titlePg/>
          <w:docGrid w:linePitch="360"/>
        </w:sectPr>
      </w:pPr>
    </w:p>
    <w:p w14:paraId="75048CEA" w14:textId="77777777" w:rsidR="00D50AF9" w:rsidRPr="009D6E99" w:rsidRDefault="00D50AF9" w:rsidP="00D50AF9">
      <w:pPr>
        <w:pStyle w:val="aNew-Level33"/>
      </w:pPr>
      <w:bookmarkStart w:id="6" w:name="_Toc280628648"/>
      <w:r w:rsidRPr="009D6E99">
        <w:lastRenderedPageBreak/>
        <w:t xml:space="preserve">Responding to this paper </w:t>
      </w:r>
    </w:p>
    <w:p w14:paraId="4A9EE0D9" w14:textId="77777777" w:rsidR="00D50AF9" w:rsidRPr="005B6B12" w:rsidRDefault="00D50AF9" w:rsidP="00D50AF9">
      <w:r w:rsidRPr="005B6B12">
        <w:t xml:space="preserve">ESMA invites comments on all matters in </w:t>
      </w:r>
      <w:r>
        <w:t xml:space="preserve">the Discussion Paper </w:t>
      </w:r>
      <w:r w:rsidRPr="005B6B12">
        <w:t xml:space="preserve">and in particular </w:t>
      </w:r>
      <w:r>
        <w:t>on the specific questions in this reply form</w:t>
      </w:r>
      <w:r w:rsidRPr="005B6B12">
        <w:t>. Comments are most helpful if they:</w:t>
      </w:r>
    </w:p>
    <w:p w14:paraId="4C24B7C7" w14:textId="77777777" w:rsidR="00D50AF9" w:rsidRPr="005B6B12" w:rsidRDefault="00D50AF9" w:rsidP="00D50AF9">
      <w:pPr>
        <w:pStyle w:val="Liststycke"/>
        <w:numPr>
          <w:ilvl w:val="0"/>
          <w:numId w:val="2"/>
        </w:numPr>
        <w:contextualSpacing w:val="0"/>
      </w:pPr>
      <w:r w:rsidRPr="005B6B12">
        <w:t>respond to the question stated;</w:t>
      </w:r>
    </w:p>
    <w:p w14:paraId="37AB2A0E" w14:textId="77777777" w:rsidR="00D50AF9" w:rsidRPr="005B6B12" w:rsidRDefault="00D50AF9" w:rsidP="00D50AF9">
      <w:pPr>
        <w:pStyle w:val="Liststycke"/>
        <w:numPr>
          <w:ilvl w:val="0"/>
          <w:numId w:val="2"/>
        </w:numPr>
        <w:contextualSpacing w:val="0"/>
      </w:pPr>
      <w:r w:rsidRPr="005B6B12">
        <w:t>indicate the specific question to which the comment relates;</w:t>
      </w:r>
    </w:p>
    <w:p w14:paraId="3C792FFB" w14:textId="77777777" w:rsidR="00D50AF9" w:rsidRPr="005B6B12" w:rsidRDefault="00D50AF9" w:rsidP="00D50AF9">
      <w:pPr>
        <w:pStyle w:val="Liststycke"/>
        <w:numPr>
          <w:ilvl w:val="0"/>
          <w:numId w:val="2"/>
        </w:numPr>
        <w:contextualSpacing w:val="0"/>
      </w:pPr>
      <w:r w:rsidRPr="005B6B12">
        <w:t>contain a clear rationale; and</w:t>
      </w:r>
    </w:p>
    <w:p w14:paraId="1032824F" w14:textId="77777777" w:rsidR="00D50AF9" w:rsidRPr="005B6B12" w:rsidRDefault="00D50AF9" w:rsidP="00D50AF9">
      <w:pPr>
        <w:pStyle w:val="Liststycke"/>
        <w:numPr>
          <w:ilvl w:val="0"/>
          <w:numId w:val="2"/>
        </w:numPr>
        <w:contextualSpacing w:val="0"/>
      </w:pPr>
      <w:r w:rsidRPr="005B6B12">
        <w:t>describe any alternatives ESMA should consider.</w:t>
      </w:r>
    </w:p>
    <w:p w14:paraId="7CBDC72B" w14:textId="77777777" w:rsidR="00D50AF9" w:rsidRDefault="00D50AF9" w:rsidP="00D50AF9">
      <w:pPr>
        <w:rPr>
          <w:b/>
        </w:rPr>
      </w:pPr>
      <w:r w:rsidRPr="005B6B12">
        <w:t xml:space="preserve">ESMA will consider all comments </w:t>
      </w:r>
      <w:r w:rsidRPr="009E1C55">
        <w:t xml:space="preserve">received by </w:t>
      </w:r>
      <w:r w:rsidRPr="00BF7004">
        <w:rPr>
          <w:b/>
          <w:color w:val="FF0000"/>
        </w:rPr>
        <w:t>21 September 2025</w:t>
      </w:r>
      <w:r w:rsidRPr="00BF7004">
        <w:rPr>
          <w:b/>
        </w:rPr>
        <w:t>.</w:t>
      </w:r>
      <w:r w:rsidRPr="005B6B12">
        <w:rPr>
          <w:b/>
        </w:rPr>
        <w:t xml:space="preserve"> </w:t>
      </w:r>
    </w:p>
    <w:p w14:paraId="178EBED9" w14:textId="77777777" w:rsidR="00D50AF9" w:rsidRPr="009D6E99" w:rsidRDefault="00D50AF9" w:rsidP="00D50AF9">
      <w:pPr>
        <w:pStyle w:val="aNew-Level33"/>
      </w:pPr>
      <w:r w:rsidRPr="009D6E99">
        <w:t>Instructions</w:t>
      </w:r>
    </w:p>
    <w:p w14:paraId="5A3C58FB" w14:textId="77777777" w:rsidR="00D50AF9" w:rsidRPr="00863BFD" w:rsidRDefault="00D50AF9" w:rsidP="00D50AF9">
      <w:r w:rsidRPr="00863BFD">
        <w:t xml:space="preserve">In order to facilitate analysis of responses to the </w:t>
      </w:r>
      <w:r>
        <w:t>Discussion</w:t>
      </w:r>
      <w:r w:rsidRPr="00863BFD">
        <w:t xml:space="preserve"> Paper, respondents are requested to follow the below steps when preparing and submitting their response:</w:t>
      </w:r>
    </w:p>
    <w:p w14:paraId="582E8054" w14:textId="77777777" w:rsidR="00D50AF9" w:rsidRPr="00863BFD" w:rsidRDefault="00D50AF9" w:rsidP="00D50AF9">
      <w:pPr>
        <w:pStyle w:val="Liststycke"/>
        <w:numPr>
          <w:ilvl w:val="0"/>
          <w:numId w:val="2"/>
        </w:numPr>
        <w:contextualSpacing w:val="0"/>
      </w:pPr>
      <w:r w:rsidRPr="00863BFD">
        <w:t xml:space="preserve">Insert your responses to the questions in the </w:t>
      </w:r>
      <w:r>
        <w:t xml:space="preserve">Discussion </w:t>
      </w:r>
      <w:r w:rsidRPr="00863BFD">
        <w:t xml:space="preserve">Paper in </w:t>
      </w:r>
      <w:r>
        <w:t>this reply</w:t>
      </w:r>
      <w:r w:rsidRPr="00863BFD">
        <w:t xml:space="preserve"> form. </w:t>
      </w:r>
    </w:p>
    <w:p w14:paraId="0AFE0CFB" w14:textId="77777777" w:rsidR="00D50AF9" w:rsidRPr="00863BFD" w:rsidRDefault="00D50AF9" w:rsidP="00D50AF9">
      <w:pPr>
        <w:pStyle w:val="Liststycke"/>
        <w:numPr>
          <w:ilvl w:val="0"/>
          <w:numId w:val="2"/>
        </w:numPr>
        <w:contextualSpacing w:val="0"/>
      </w:pPr>
      <w:r w:rsidRPr="00863BFD">
        <w:t>Please do not remove tags of the type &lt;ESMA_QUESTION</w:t>
      </w:r>
      <w:r>
        <w:t>_ICFD_</w:t>
      </w:r>
      <w:r w:rsidRPr="00863BFD">
        <w:t>1&gt;. Your response to each question has to be framed by the two tags corresponding to the question.</w:t>
      </w:r>
    </w:p>
    <w:p w14:paraId="4F44B354" w14:textId="77777777" w:rsidR="00D50AF9" w:rsidRPr="00863BFD" w:rsidRDefault="00D50AF9" w:rsidP="00D50AF9">
      <w:pPr>
        <w:pStyle w:val="Liststycke"/>
        <w:numPr>
          <w:ilvl w:val="0"/>
          <w:numId w:val="2"/>
        </w:numPr>
        <w:contextualSpacing w:val="0"/>
      </w:pPr>
      <w:r w:rsidRPr="00863BFD">
        <w:t>If you do not wish to respond to a given question, please do not delete it but simply leave the text “TYPE YOUR TEXT HERE” between the tags.</w:t>
      </w:r>
    </w:p>
    <w:p w14:paraId="19A0758F" w14:textId="77777777" w:rsidR="00D50AF9" w:rsidRDefault="00D50AF9" w:rsidP="00D50AF9">
      <w:pPr>
        <w:pStyle w:val="Liststycke"/>
        <w:numPr>
          <w:ilvl w:val="0"/>
          <w:numId w:val="2"/>
        </w:numPr>
        <w:contextualSpacing w:val="0"/>
      </w:pPr>
      <w:r w:rsidRPr="00863BFD">
        <w:t xml:space="preserve">When </w:t>
      </w:r>
      <w:r w:rsidRPr="00C6611D">
        <w:t>you have drafted your responses, save the reply form according to the following convention: ESMA_ICFD_nameofrespondent.</w:t>
      </w:r>
      <w:r w:rsidRPr="00863BFD">
        <w:t xml:space="preserve"> </w:t>
      </w:r>
    </w:p>
    <w:p w14:paraId="3BCAB2D6" w14:textId="77777777" w:rsidR="00D50AF9" w:rsidRDefault="00D50AF9" w:rsidP="00D50AF9">
      <w:pPr>
        <w:pStyle w:val="Liststycke"/>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ICFD_</w:t>
      </w:r>
      <w:r w:rsidRPr="00863BFD">
        <w:t>ABCD.</w:t>
      </w:r>
    </w:p>
    <w:p w14:paraId="6A3B84F2" w14:textId="77777777" w:rsidR="00D50AF9" w:rsidRDefault="00D50AF9" w:rsidP="00D50AF9">
      <w:pPr>
        <w:pStyle w:val="Liststycke"/>
        <w:numPr>
          <w:ilvl w:val="0"/>
          <w:numId w:val="2"/>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5" w:history="1">
        <w:r w:rsidRPr="005B6B12">
          <w:rPr>
            <w:rStyle w:val="Hyperlnk"/>
          </w:rPr>
          <w:t>www.esma.europa.eu</w:t>
        </w:r>
      </w:hyperlink>
      <w:r w:rsidRPr="005B6B12">
        <w:t xml:space="preserve"> under the heading ‘Your input - Consultations’. </w:t>
      </w:r>
    </w:p>
    <w:p w14:paraId="08682384" w14:textId="77777777" w:rsidR="00D50AF9" w:rsidRDefault="00D50AF9" w:rsidP="00D50AF9">
      <w:pPr>
        <w:pStyle w:val="04BodyText"/>
      </w:pPr>
    </w:p>
    <w:p w14:paraId="1E272C23" w14:textId="77777777" w:rsidR="00D50AF9" w:rsidRDefault="00D50AF9" w:rsidP="00D50AF9">
      <w:pPr>
        <w:pStyle w:val="04BodyText"/>
      </w:pPr>
    </w:p>
    <w:p w14:paraId="5FD5027F" w14:textId="77777777" w:rsidR="00D50AF9" w:rsidRDefault="00D50AF9" w:rsidP="00D50AF9">
      <w:pPr>
        <w:pStyle w:val="04BodyText"/>
      </w:pPr>
    </w:p>
    <w:p w14:paraId="09CD9C6E" w14:textId="77777777" w:rsidR="00D50AF9" w:rsidRPr="009D6E99" w:rsidRDefault="00D50AF9" w:rsidP="00D50AF9">
      <w:pPr>
        <w:pStyle w:val="aNew-Level33"/>
      </w:pPr>
      <w:r w:rsidRPr="00EF0769">
        <w:lastRenderedPageBreak/>
        <w:t>Publication of responses</w:t>
      </w:r>
    </w:p>
    <w:p w14:paraId="2FF6D6B8" w14:textId="77777777" w:rsidR="00D50AF9" w:rsidRPr="00EF0769" w:rsidRDefault="00D50AF9" w:rsidP="00D50AF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2B981182" w14:textId="77777777" w:rsidR="00D50AF9" w:rsidRDefault="00D50AF9" w:rsidP="00D50AF9">
      <w:pPr>
        <w:pStyle w:val="04BodyText"/>
      </w:pPr>
    </w:p>
    <w:p w14:paraId="03E478B4" w14:textId="77777777" w:rsidR="00D50AF9" w:rsidRPr="009D6E99" w:rsidRDefault="00D50AF9" w:rsidP="00D50AF9">
      <w:pPr>
        <w:pStyle w:val="aNew-Level33"/>
      </w:pPr>
      <w:r w:rsidRPr="00EF0769">
        <w:t>Data protection</w:t>
      </w:r>
    </w:p>
    <w:p w14:paraId="6EF74803" w14:textId="77777777" w:rsidR="00D50AF9" w:rsidRDefault="00D50AF9" w:rsidP="00D50AF9">
      <w:pPr>
        <w:rPr>
          <w:szCs w:val="22"/>
          <w:lang w:eastAsia="en-GB"/>
        </w:rPr>
      </w:pPr>
      <w:r w:rsidRPr="00EF0769">
        <w:t xml:space="preserve">Information on data protection can be found at </w:t>
      </w:r>
      <w:hyperlink r:id="rId16" w:history="1">
        <w:r w:rsidRPr="00EF0769">
          <w:rPr>
            <w:rStyle w:val="Hyperl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nk"/>
        </w:rPr>
        <w:t>‘</w:t>
      </w:r>
      <w:hyperlink r:id="rId17" w:history="1">
        <w:r>
          <w:rPr>
            <w:rStyle w:val="Hyperlnk"/>
          </w:rPr>
          <w:t>Data protection</w:t>
        </w:r>
      </w:hyperlink>
      <w:r>
        <w:rPr>
          <w:rStyle w:val="Hyperlnk"/>
        </w:rPr>
        <w:t>’</w:t>
      </w:r>
      <w:r w:rsidRPr="005B6B12">
        <w:t>.</w:t>
      </w:r>
      <w:r w:rsidRPr="00AD0C8A">
        <w:rPr>
          <w:szCs w:val="22"/>
          <w:lang w:eastAsia="en-GB"/>
        </w:rPr>
        <w:t>.</w:t>
      </w:r>
    </w:p>
    <w:p w14:paraId="1F9284E4" w14:textId="77777777" w:rsidR="00D50AF9" w:rsidRDefault="00D50AF9" w:rsidP="00D50AF9">
      <w:pPr>
        <w:pStyle w:val="04BodyText"/>
      </w:pPr>
    </w:p>
    <w:p w14:paraId="5300E496" w14:textId="77777777" w:rsidR="00D50AF9" w:rsidRDefault="00D50AF9" w:rsidP="00D50AF9">
      <w:pPr>
        <w:rPr>
          <w:lang w:eastAsia="en-GB"/>
        </w:rPr>
      </w:pPr>
      <w:bookmarkStart w:id="7" w:name="_Toc335141334"/>
    </w:p>
    <w:p w14:paraId="644E2C73" w14:textId="77777777" w:rsidR="00D50AF9" w:rsidRDefault="00D50AF9" w:rsidP="00D50AF9">
      <w:pPr>
        <w:rPr>
          <w:lang w:eastAsia="en-GB"/>
        </w:rPr>
      </w:pPr>
      <w:bookmarkStart w:id="8" w:name="_Toc335141335"/>
      <w:bookmarkEnd w:id="7"/>
    </w:p>
    <w:bookmarkEnd w:id="8"/>
    <w:p w14:paraId="260C2F71" w14:textId="77777777" w:rsidR="00D50AF9" w:rsidRDefault="00D50AF9" w:rsidP="00D50AF9">
      <w:pPr>
        <w:rPr>
          <w:lang w:eastAsia="en-GB"/>
        </w:rPr>
      </w:pPr>
    </w:p>
    <w:p w14:paraId="3C84B899" w14:textId="77777777" w:rsidR="00D50AF9" w:rsidRDefault="00D50AF9" w:rsidP="00D50AF9">
      <w:pPr>
        <w:rPr>
          <w:lang w:eastAsia="en-GB"/>
        </w:rPr>
      </w:pPr>
    </w:p>
    <w:p w14:paraId="4AAAA86A" w14:textId="77777777" w:rsidR="00D50AF9" w:rsidRDefault="00D50AF9" w:rsidP="00D50AF9">
      <w:pPr>
        <w:rPr>
          <w:lang w:eastAsia="en-GB"/>
        </w:rPr>
      </w:pPr>
    </w:p>
    <w:p w14:paraId="100BB464" w14:textId="77777777" w:rsidR="00D50AF9" w:rsidRDefault="00D50AF9" w:rsidP="00D50AF9">
      <w:pPr>
        <w:rPr>
          <w:lang w:eastAsia="en-GB"/>
        </w:rPr>
      </w:pPr>
    </w:p>
    <w:p w14:paraId="2C14178D" w14:textId="77777777" w:rsidR="00D50AF9" w:rsidRDefault="00D50AF9" w:rsidP="00D50AF9"/>
    <w:p w14:paraId="19D8510B" w14:textId="77777777" w:rsidR="00D50AF9" w:rsidRDefault="00D50AF9" w:rsidP="00D50AF9"/>
    <w:bookmarkEnd w:id="6"/>
    <w:p w14:paraId="1AA9DE27" w14:textId="77777777" w:rsidR="00D50AF9" w:rsidRDefault="00D50AF9" w:rsidP="00D50AF9">
      <w:pPr>
        <w:sectPr w:rsidR="00D50AF9" w:rsidSect="00D50AF9">
          <w:headerReference w:type="even" r:id="rId18"/>
          <w:headerReference w:type="first" r:id="rId19"/>
          <w:footerReference w:type="first" r:id="rId20"/>
          <w:pgSz w:w="11906" w:h="16838" w:code="9"/>
          <w:pgMar w:top="2410" w:right="1247" w:bottom="1135" w:left="1247" w:header="709" w:footer="709" w:gutter="0"/>
          <w:cols w:space="708"/>
          <w:titlePg/>
          <w:docGrid w:linePitch="360"/>
        </w:sectPr>
      </w:pPr>
    </w:p>
    <w:p w14:paraId="01BC38C4" w14:textId="77777777" w:rsidR="00D50AF9" w:rsidRPr="00BB1973" w:rsidRDefault="00D50AF9" w:rsidP="00D50AF9">
      <w:pPr>
        <w:pStyle w:val="Rubrik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D50AF9" w:rsidRPr="00AB6D88" w14:paraId="45F3F617" w14:textId="77777777" w:rsidTr="00992849">
        <w:tc>
          <w:tcPr>
            <w:tcW w:w="3929" w:type="dxa"/>
            <w:vAlign w:val="center"/>
          </w:tcPr>
          <w:p w14:paraId="2CDA6C54" w14:textId="77777777" w:rsidR="00D50AF9" w:rsidRPr="00104E00" w:rsidRDefault="00D50AF9" w:rsidP="00992849">
            <w:pPr>
              <w:jc w:val="left"/>
              <w:rPr>
                <w:color w:val="00379F"/>
              </w:rPr>
            </w:pPr>
            <w:r w:rsidRPr="00104E00">
              <w:rPr>
                <w:color w:val="00379F"/>
              </w:rPr>
              <w:t>Name of the company / organisation</w:t>
            </w:r>
          </w:p>
        </w:tc>
        <w:sdt>
          <w:sdtPr>
            <w:rPr>
              <w:rStyle w:val="Platshllartext"/>
            </w:rPr>
            <w:id w:val="651570699"/>
            <w:text/>
          </w:sdtPr>
          <w:sdtEndPr>
            <w:rPr>
              <w:rStyle w:val="Platshllartext"/>
            </w:rPr>
          </w:sdtEndPr>
          <w:sdtContent>
            <w:tc>
              <w:tcPr>
                <w:tcW w:w="5595" w:type="dxa"/>
                <w:vAlign w:val="center"/>
              </w:tcPr>
              <w:p w14:paraId="527AA40A" w14:textId="23604B68" w:rsidR="00D50AF9" w:rsidRPr="00104E00" w:rsidRDefault="00920F6B" w:rsidP="00992849">
                <w:pPr>
                  <w:jc w:val="left"/>
                  <w:rPr>
                    <w:rStyle w:val="Platshllartext"/>
                  </w:rPr>
                </w:pPr>
                <w:r>
                  <w:rPr>
                    <w:rStyle w:val="Platshllartext"/>
                  </w:rPr>
                  <w:t>The Swedish Investment Fund Association (SIFA)</w:t>
                </w:r>
              </w:p>
            </w:tc>
          </w:sdtContent>
        </w:sdt>
      </w:tr>
      <w:tr w:rsidR="00D50AF9" w:rsidRPr="00AB6D88" w14:paraId="277A6E49" w14:textId="77777777" w:rsidTr="00992849">
        <w:tc>
          <w:tcPr>
            <w:tcW w:w="3929" w:type="dxa"/>
            <w:vAlign w:val="center"/>
          </w:tcPr>
          <w:p w14:paraId="3B349DC2" w14:textId="77777777" w:rsidR="00D50AF9" w:rsidRPr="00104E00" w:rsidRDefault="00D50AF9" w:rsidP="00992849">
            <w:pPr>
              <w:jc w:val="left"/>
              <w:rPr>
                <w:color w:val="00379F"/>
              </w:rPr>
            </w:pPr>
            <w:r w:rsidRPr="00104E00">
              <w:rPr>
                <w:color w:val="00379F"/>
              </w:rPr>
              <w:t>Activity</w:t>
            </w:r>
          </w:p>
        </w:tc>
        <w:tc>
          <w:tcPr>
            <w:tcW w:w="5595" w:type="dxa"/>
            <w:vAlign w:val="center"/>
          </w:tcPr>
          <w:p w14:paraId="6C94E74D" w14:textId="64AAA323" w:rsidR="00D50AF9" w:rsidRPr="00104E00" w:rsidRDefault="002F508B" w:rsidP="00992849">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920F6B">
                  <w:t>Investment Services</w:t>
                </w:r>
              </w:sdtContent>
            </w:sdt>
          </w:p>
        </w:tc>
      </w:tr>
      <w:tr w:rsidR="00D50AF9" w:rsidRPr="00AB6D88" w14:paraId="360D44B7" w14:textId="77777777" w:rsidTr="00992849">
        <w:tc>
          <w:tcPr>
            <w:tcW w:w="3929" w:type="dxa"/>
            <w:vAlign w:val="center"/>
          </w:tcPr>
          <w:p w14:paraId="1EE59CFF" w14:textId="77777777" w:rsidR="00D50AF9" w:rsidRPr="00104E00" w:rsidRDefault="00D50AF9" w:rsidP="00992849">
            <w:pPr>
              <w:jc w:val="left"/>
              <w:rPr>
                <w:color w:val="00379F"/>
              </w:rPr>
            </w:pPr>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vAlign w:val="center"/>
              </w:tcPr>
              <w:p w14:paraId="69C49822" w14:textId="4430AE41" w:rsidR="00D50AF9" w:rsidRPr="00104E00" w:rsidRDefault="00920F6B" w:rsidP="00992849">
                <w:pPr>
                  <w:jc w:val="left"/>
                </w:pPr>
                <w:r>
                  <w:rPr>
                    <w:rFonts w:ascii="MS Gothic" w:eastAsia="MS Gothic" w:hAnsi="MS Gothic" w:hint="eastAsia"/>
                  </w:rPr>
                  <w:t>☒</w:t>
                </w:r>
              </w:p>
            </w:tc>
          </w:sdtContent>
        </w:sdt>
      </w:tr>
      <w:tr w:rsidR="00D50AF9" w:rsidRPr="00AB6D88" w14:paraId="4F4F3E56" w14:textId="77777777" w:rsidTr="00992849">
        <w:tc>
          <w:tcPr>
            <w:tcW w:w="3929" w:type="dxa"/>
            <w:vAlign w:val="center"/>
          </w:tcPr>
          <w:p w14:paraId="3611FDB1" w14:textId="77777777" w:rsidR="00D50AF9" w:rsidRPr="00104E00" w:rsidRDefault="00D50AF9" w:rsidP="00992849">
            <w:pPr>
              <w:jc w:val="left"/>
              <w:rPr>
                <w:color w:val="00379F"/>
              </w:rPr>
            </w:pPr>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6B3E47A4" w14:textId="19CD73E2" w:rsidR="00D50AF9" w:rsidRPr="00104E00" w:rsidRDefault="00920F6B" w:rsidP="00992849">
                <w:pPr>
                  <w:jc w:val="left"/>
                </w:pPr>
                <w:r>
                  <w:t>Sweden</w:t>
                </w:r>
              </w:p>
            </w:tc>
          </w:sdtContent>
        </w:sdt>
      </w:tr>
    </w:tbl>
    <w:p w14:paraId="2E17487A" w14:textId="77777777" w:rsidR="00D50AF9" w:rsidRDefault="00D50AF9" w:rsidP="00D50AF9"/>
    <w:p w14:paraId="4E4444FD" w14:textId="77777777" w:rsidR="00D50AF9" w:rsidRDefault="00D50AF9" w:rsidP="00D50AF9">
      <w:pPr>
        <w:spacing w:after="0" w:line="240" w:lineRule="auto"/>
        <w:jc w:val="left"/>
      </w:pPr>
      <w:r>
        <w:br w:type="page"/>
      </w:r>
    </w:p>
    <w:p w14:paraId="2C17817E" w14:textId="77777777" w:rsidR="00D50AF9" w:rsidRDefault="00D50AF9" w:rsidP="00D50AF9">
      <w:pPr>
        <w:pStyle w:val="Rubrik1"/>
      </w:pPr>
      <w:r>
        <w:lastRenderedPageBreak/>
        <w:t>Questions</w:t>
      </w:r>
      <w:bookmarkStart w:id="10" w:name="_Hlk124780170"/>
    </w:p>
    <w:bookmarkEnd w:id="9"/>
    <w:bookmarkEnd w:id="10"/>
    <w:p w14:paraId="1CCF819D" w14:textId="77777777" w:rsidR="00D50AF9" w:rsidRDefault="00D50AF9" w:rsidP="00D50AF9">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5FAC1869" w14:textId="77777777" w:rsidR="00D50AF9" w:rsidRDefault="00D50AF9" w:rsidP="00D50AF9">
      <w:r>
        <w:t>&lt;ESMA_QUESTION_ICFD_1&gt;</w:t>
      </w:r>
    </w:p>
    <w:p w14:paraId="73A6A17F" w14:textId="78BE9566" w:rsidR="005E4DB9" w:rsidRDefault="00E13AF3" w:rsidP="008F3F67">
      <w:r w:rsidRPr="00E13AF3">
        <w:t>The objective (to simplify and facilitate) is to be regarded as commendable</w:t>
      </w:r>
      <w:r>
        <w:t xml:space="preserve">. </w:t>
      </w:r>
    </w:p>
    <w:p w14:paraId="5A8E78C0" w14:textId="47C54A22" w:rsidR="005E4DB9" w:rsidRDefault="005E4DB9" w:rsidP="008F3F67">
      <w:r w:rsidRPr="00AE7F10">
        <w:t>Should harmonized reporting be introduced, Member States and national authorities shall not impose requirements for parallel national reporting. Furthermore, national authorities shall agree on a single format in order to avoid the emergence of side-regulations.</w:t>
      </w:r>
    </w:p>
    <w:p w14:paraId="68314CB5" w14:textId="6796E397" w:rsidR="00D50AF9" w:rsidRDefault="006D2033" w:rsidP="008F3F67">
      <w:r w:rsidRPr="006D2033">
        <w:t>Going forward, it should be underscored that any integration must ensure the preservation of a clear supervisory line through the NCA, while at the same time enabling a ‘report once, use many’ approach across EU authorities</w:t>
      </w:r>
      <w:r>
        <w:t>.</w:t>
      </w:r>
    </w:p>
    <w:p w14:paraId="5374CB97" w14:textId="1495EA1F" w:rsidR="00D50AF9" w:rsidRDefault="00D50AF9" w:rsidP="00D50AF9">
      <w:r>
        <w:t>&lt;ESMA_QUESTION_ICFD_1&gt;</w:t>
      </w:r>
    </w:p>
    <w:p w14:paraId="42B34E13" w14:textId="77777777" w:rsidR="00D50AF9" w:rsidRDefault="00D50AF9" w:rsidP="00D50AF9">
      <w:pPr>
        <w:pStyle w:val="Questionstyle"/>
        <w:spacing w:before="120" w:after="120"/>
        <w:ind w:left="851" w:hanging="709"/>
      </w:pPr>
      <w:r w:rsidRPr="0002065D">
        <w:t>What are the best practices for data collection for retail investment funds in EU and non-EU jurisdictions that ESMA could consider?</w:t>
      </w:r>
    </w:p>
    <w:p w14:paraId="36C3C5E5" w14:textId="456A35D4" w:rsidR="00D50AF9" w:rsidRDefault="00D50AF9" w:rsidP="008F3F67">
      <w:pPr>
        <w:jc w:val="left"/>
      </w:pPr>
      <w:r>
        <w:t>&lt;ESMA_QUESTION_ICFD_2&gt;</w:t>
      </w:r>
      <w:r w:rsidR="0018294E">
        <w:br/>
      </w:r>
      <w:r>
        <w:br/>
        <w:t>- A single EU data dictionary with stable, versioned definitions and code lists.</w:t>
      </w:r>
      <w:r>
        <w:br/>
        <w:t>- One submission – multiple reuses: firms submit once to the NCA; authorities exchange data through governed pipes.</w:t>
      </w:r>
      <w:r>
        <w:br/>
        <w:t>- Strong validations published with conformance tests before go</w:t>
      </w:r>
      <w:r>
        <w:rPr>
          <w:rFonts w:ascii="Cambria Math" w:hAnsi="Cambria Math" w:cs="Cambria Math"/>
        </w:rPr>
        <w:t>‑</w:t>
      </w:r>
      <w:r>
        <w:t>live.</w:t>
      </w:r>
      <w:r>
        <w:br/>
        <w:t>- Use of global identifiers (LEI, ISIN) and reference/master data.</w:t>
      </w:r>
      <w:r>
        <w:br/>
        <w:t>- Public FAQs/technical notes to avoid divergent interpretations.</w:t>
      </w:r>
    </w:p>
    <w:p w14:paraId="7B04BB41" w14:textId="6386BF46" w:rsidR="00D50AF9" w:rsidRDefault="00D50AF9" w:rsidP="00D50AF9">
      <w:r>
        <w:t>&lt;ESMA_QUESTION_ICFD_2&gt;</w:t>
      </w:r>
    </w:p>
    <w:p w14:paraId="27E6BEC5" w14:textId="4176D7B1" w:rsidR="00C85F0B" w:rsidRPr="00C85F0B" w:rsidRDefault="00D50AF9" w:rsidP="00C85F0B">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6906C4EB" w14:textId="77777777" w:rsidR="00D50AF9" w:rsidRDefault="00D50AF9" w:rsidP="00D50AF9">
      <w:r>
        <w:t>&lt;ESMA_QUESTION_ICFD_3&gt;</w:t>
      </w:r>
    </w:p>
    <w:p w14:paraId="2BE86EF8" w14:textId="11D5E35A" w:rsidR="00533CDC" w:rsidRPr="00C6611D" w:rsidRDefault="002F508B" w:rsidP="00D50AF9">
      <w:pPr>
        <w:rPr>
          <w:lang w:val="en-US"/>
        </w:rPr>
      </w:pPr>
      <w:r w:rsidRPr="00863BFD">
        <w:t>“TYPE YOUR TEXT HERE”</w:t>
      </w:r>
    </w:p>
    <w:p w14:paraId="4FB5F30C" w14:textId="5276A017" w:rsidR="00D50AF9" w:rsidRPr="00C6611D" w:rsidRDefault="00D50AF9" w:rsidP="00D50AF9">
      <w:pPr>
        <w:rPr>
          <w:lang w:val="en-US"/>
        </w:rPr>
      </w:pPr>
      <w:r w:rsidRPr="00C6611D">
        <w:rPr>
          <w:lang w:val="en-US"/>
        </w:rPr>
        <w:t>&lt;ESMA_QUESTION_ICFD_3&gt;</w:t>
      </w:r>
    </w:p>
    <w:p w14:paraId="1239EC27" w14:textId="77777777" w:rsidR="00D50AF9" w:rsidRPr="00C6611D" w:rsidRDefault="00D50AF9" w:rsidP="00D50AF9">
      <w:pPr>
        <w:rPr>
          <w:lang w:val="en-US"/>
        </w:rPr>
      </w:pPr>
    </w:p>
    <w:p w14:paraId="53255102" w14:textId="77777777" w:rsidR="00D50AF9" w:rsidRDefault="00D50AF9" w:rsidP="00D50AF9">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59A1A672" w14:textId="77777777" w:rsidR="00D50AF9" w:rsidRDefault="00D50AF9" w:rsidP="00D50AF9">
      <w:r>
        <w:t>&lt;ESMA_QUESTION_ICFD_4&gt;</w:t>
      </w:r>
    </w:p>
    <w:p w14:paraId="297B52C2" w14:textId="615F61AB" w:rsidR="00D50AF9" w:rsidRPr="00A42882" w:rsidRDefault="00A42882" w:rsidP="008F3F67">
      <w:pPr>
        <w:rPr>
          <w:lang w:val="en-US"/>
        </w:rPr>
      </w:pPr>
      <w:r>
        <w:t>W</w:t>
      </w:r>
      <w:r w:rsidR="00D50AF9">
        <w:t>e support</w:t>
      </w:r>
      <w:r w:rsidR="00015E83">
        <w:t xml:space="preserve"> the idea</w:t>
      </w:r>
      <w:r w:rsidR="00F83D5E">
        <w:t xml:space="preserve"> of</w:t>
      </w:r>
      <w:r w:rsidR="00D50AF9">
        <w:t xml:space="preserve"> an integrated framework covering AIFMD, UCITS, MMFR. </w:t>
      </w:r>
      <w:r w:rsidR="00A5068E">
        <w:t>However</w:t>
      </w:r>
      <w:r w:rsidR="00105A4A" w:rsidRPr="00105A4A">
        <w:rPr>
          <w:lang w:val="en-US"/>
        </w:rPr>
        <w:t>, it is important to emphasize that companies already have established routines and processes for regular reporting. This means that even minor deviations from current practices can entail significant costs for companies, both in terms of system development and the creation of new procedures.</w:t>
      </w:r>
      <w:r w:rsidR="004D4B91">
        <w:rPr>
          <w:lang w:val="en-US"/>
        </w:rPr>
        <w:t xml:space="preserve"> </w:t>
      </w:r>
      <w:r w:rsidR="00105A4A" w:rsidRPr="00105A4A">
        <w:rPr>
          <w:lang w:val="en-US"/>
        </w:rPr>
        <w:t>Any potential changes should therefore be consolidated, so that companies are not forced to implement small adjustments on a recurring basis.</w:t>
      </w:r>
    </w:p>
    <w:p w14:paraId="7D405887" w14:textId="14C859E8" w:rsidR="00D50AF9" w:rsidRDefault="00D50AF9" w:rsidP="00D50AF9">
      <w:r>
        <w:t>&lt;ESMA_QUESTION_ICFD_4&gt;</w:t>
      </w:r>
    </w:p>
    <w:p w14:paraId="28912011" w14:textId="77777777" w:rsidR="00D50AF9" w:rsidRDefault="00D50AF9" w:rsidP="00D50AF9">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6287EABD" w14:textId="77777777" w:rsidR="00D50AF9" w:rsidRDefault="00D50AF9" w:rsidP="00D50AF9">
      <w:r>
        <w:t>&lt;ESMA_QUESTION_ICFD_5&gt;</w:t>
      </w:r>
    </w:p>
    <w:p w14:paraId="1D7B2EE6" w14:textId="529DDDF5" w:rsidR="000673A9" w:rsidRPr="00C6611D" w:rsidRDefault="002F508B" w:rsidP="00D50AF9">
      <w:pPr>
        <w:rPr>
          <w:lang w:val="en-US"/>
        </w:rPr>
      </w:pPr>
      <w:r w:rsidRPr="00863BFD">
        <w:t>“TYPE YOUR TEXT HERE”</w:t>
      </w:r>
    </w:p>
    <w:p w14:paraId="7C526FDE" w14:textId="0F7F30AE" w:rsidR="00D50AF9" w:rsidRDefault="00D50AF9" w:rsidP="00D50AF9">
      <w:r>
        <w:t>&lt;ESMA_QUESTION_ICFD_5&gt;</w:t>
      </w:r>
    </w:p>
    <w:p w14:paraId="019A99A7" w14:textId="77777777" w:rsidR="00D50AF9" w:rsidRDefault="00D50AF9" w:rsidP="00D50AF9">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230554D7" w14:textId="77777777" w:rsidR="00D50AF9" w:rsidRDefault="00D50AF9" w:rsidP="00D50AF9">
      <w:r>
        <w:t>&lt;ESMA_QUESTION_ICFD_6&gt;</w:t>
      </w:r>
    </w:p>
    <w:p w14:paraId="3E80DBA4" w14:textId="77777777" w:rsidR="00090C1C" w:rsidRDefault="00090C1C" w:rsidP="00D50AF9">
      <w:r w:rsidRPr="00090C1C">
        <w:t>Efforts should focus on leveraging common identifiers such as LEI and ISIN, as well as legal entity hierarchies and reference data across EMIR, SFTR, MiFID and MiFIR. While challenges remain due to differing legal bases, confidentiality requirements and timing needs, the priority should be on harmonizing identifiers and core master data rather than attempting to merge detailed reporting templates</w:t>
      </w:r>
    </w:p>
    <w:p w14:paraId="1EFCBAE2" w14:textId="216B595A" w:rsidR="00D50AF9" w:rsidRDefault="00D50AF9" w:rsidP="00D50AF9">
      <w:r>
        <w:t>&lt;ESMA_QUESTION_ICFD_6&gt;</w:t>
      </w:r>
    </w:p>
    <w:p w14:paraId="609A3D20" w14:textId="77777777" w:rsidR="00D50AF9" w:rsidRDefault="00D50AF9" w:rsidP="00D50AF9">
      <w:pPr>
        <w:pStyle w:val="Questionstyle"/>
        <w:spacing w:before="120" w:after="120"/>
        <w:ind w:left="851" w:hanging="709"/>
      </w:pPr>
      <w:r w:rsidRPr="0002065D">
        <w:lastRenderedPageBreak/>
        <w:t>How should this approach be implemented to ensure proportionality, efficiency, and data quality?</w:t>
      </w:r>
    </w:p>
    <w:p w14:paraId="1827EA57" w14:textId="77777777" w:rsidR="00D50AF9" w:rsidRDefault="00D50AF9" w:rsidP="00D50AF9">
      <w:r>
        <w:t>&lt;ESMA_QUESTION_ICFD_7&gt;</w:t>
      </w:r>
    </w:p>
    <w:p w14:paraId="4E55CCCB" w14:textId="1FDDB91F" w:rsidR="00D50AF9" w:rsidRDefault="00D50AF9" w:rsidP="000C01D2">
      <w:pPr>
        <w:jc w:val="left"/>
      </w:pPr>
      <w:r>
        <w:t>Implementation principles:</w:t>
      </w:r>
      <w:r>
        <w:br/>
        <w:t xml:space="preserve">- Proportionality: thresholds by AuM/complexity; simplified </w:t>
      </w:r>
      <w:r w:rsidR="00E413D7">
        <w:t>measures</w:t>
      </w:r>
      <w:r>
        <w:t xml:space="preserve"> for small</w:t>
      </w:r>
      <w:r w:rsidR="00AA2B57">
        <w:t xml:space="preserve"> entities</w:t>
      </w:r>
      <w:r>
        <w:t>.</w:t>
      </w:r>
      <w:r>
        <w:br/>
        <w:t>- Efficiency: single submission channel via the NCA; standard APIs; shared validations.</w:t>
      </w:r>
    </w:p>
    <w:p w14:paraId="733AC75A" w14:textId="1727FADE" w:rsidR="00D50AF9" w:rsidRDefault="00D50AF9" w:rsidP="00D50AF9">
      <w:r>
        <w:t>&lt;ESMA_QUESTION_ICFD_7&gt;</w:t>
      </w:r>
    </w:p>
    <w:p w14:paraId="30FEB41E" w14:textId="77777777" w:rsidR="00D50AF9" w:rsidRPr="00C139C7" w:rsidRDefault="00D50AF9" w:rsidP="00D50AF9">
      <w:pPr>
        <w:pStyle w:val="Questionstyle"/>
        <w:spacing w:before="120" w:after="120"/>
        <w:ind w:left="851" w:hanging="709"/>
      </w:pPr>
      <w:r w:rsidRPr="00C139C7">
        <w:t>How can semantic data integration best be achieved across reporting frameworks? Please identify areas where alignment would be most beneficial?</w:t>
      </w:r>
    </w:p>
    <w:p w14:paraId="3650B672" w14:textId="77777777" w:rsidR="00D50AF9" w:rsidRDefault="00D50AF9" w:rsidP="00D50AF9">
      <w:r>
        <w:t>&lt;ESMA_QUESTION_ICFD_8&gt;</w:t>
      </w:r>
    </w:p>
    <w:p w14:paraId="5173FB32" w14:textId="05627966" w:rsidR="00D50AF9" w:rsidRDefault="00D50AF9" w:rsidP="00787A78">
      <w:pPr>
        <w:jc w:val="left"/>
      </w:pPr>
      <w:r>
        <w:t>Semantic integration:</w:t>
      </w:r>
      <w:r>
        <w:br/>
        <w:t>- Establish a central EU data dictionary, explicit data types/units, and mapping tables to legacy templates.</w:t>
      </w:r>
      <w:r>
        <w:br/>
        <w:t>- Prioritise alignment for: identifiers (LEI/ISIN/CFI), NAV and valuation concepts, liquidity buckets, leverage/exposure metrics, and cost/charges taxonomy.</w:t>
      </w:r>
      <w:r>
        <w:br/>
        <w:t>- Publish open, versioned artefacts (code lists, JSON schemas/XSD, validation rules) with change logs.</w:t>
      </w:r>
    </w:p>
    <w:p w14:paraId="4FF14242" w14:textId="70507620" w:rsidR="00D50AF9" w:rsidRDefault="00D50AF9" w:rsidP="00D50AF9">
      <w:r>
        <w:t>&lt;ESMA_QUESTION_ICFD_8&gt;</w:t>
      </w:r>
    </w:p>
    <w:p w14:paraId="7587C500" w14:textId="77777777" w:rsidR="00D50AF9" w:rsidRDefault="00D50AF9" w:rsidP="00D50AF9">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749D87D5" w14:textId="77777777" w:rsidR="00D50AF9" w:rsidRDefault="00D50AF9" w:rsidP="00D50AF9">
      <w:r>
        <w:t>&lt;ESMA_QUESTION_ICFD_9&gt;</w:t>
      </w:r>
    </w:p>
    <w:p w14:paraId="5A70F9E0" w14:textId="52047B52" w:rsidR="00D50AF9" w:rsidRDefault="00D50AF9" w:rsidP="00787A78">
      <w:pPr>
        <w:jc w:val="left"/>
      </w:pPr>
      <w:r>
        <w:t xml:space="preserve">Most efficient: </w:t>
      </w:r>
      <w:r w:rsidR="006F7312">
        <w:t xml:space="preserve">A </w:t>
      </w:r>
      <w:r>
        <w:t>common EU data model with NCA collection and inter</w:t>
      </w:r>
      <w:r>
        <w:rPr>
          <w:rFonts w:ascii="Cambria Math" w:hAnsi="Cambria Math" w:cs="Cambria Math"/>
        </w:rPr>
        <w:t>‑</w:t>
      </w:r>
      <w:r>
        <w:t>authority sharing. Expected impacts (qualitative):</w:t>
      </w:r>
      <w:r>
        <w:br/>
        <w:t>- Benefits: reduction in duplicated engineering and reconciliations over time; faster supervisory analytics.</w:t>
      </w:r>
      <w:r>
        <w:br/>
        <w:t>- Costs: one</w:t>
      </w:r>
      <w:r>
        <w:rPr>
          <w:rFonts w:ascii="Cambria Math" w:hAnsi="Cambria Math" w:cs="Cambria Math"/>
        </w:rPr>
        <w:t>‑</w:t>
      </w:r>
      <w:r>
        <w:t>off schema integration, training, parallel</w:t>
      </w:r>
      <w:r>
        <w:rPr>
          <w:rFonts w:ascii="Cambria Math" w:hAnsi="Cambria Math" w:cs="Cambria Math"/>
        </w:rPr>
        <w:t>‑</w:t>
      </w:r>
      <w:r>
        <w:t>run during transition.</w:t>
      </w:r>
      <w:r>
        <w:br/>
        <w:t>Centralised infrastructures can help analytics, but collection should remain via NCAs to preserve supervisory proximity and support.</w:t>
      </w:r>
    </w:p>
    <w:p w14:paraId="14DA3BED" w14:textId="21B12158" w:rsidR="00D50AF9" w:rsidRDefault="00D50AF9" w:rsidP="00D50AF9">
      <w:r>
        <w:t>&lt;ESMA_QUESTION_ICFD_9&gt;</w:t>
      </w:r>
    </w:p>
    <w:p w14:paraId="1339A753" w14:textId="77777777" w:rsidR="00D50AF9" w:rsidRDefault="00D50AF9" w:rsidP="00D50AF9">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25D4E5C8" w14:textId="77777777" w:rsidR="00D50AF9" w:rsidRDefault="00D50AF9" w:rsidP="00D50AF9">
      <w:r>
        <w:lastRenderedPageBreak/>
        <w:t>&lt;ESMA_QUESTION_ICFD_10&gt;</w:t>
      </w:r>
    </w:p>
    <w:p w14:paraId="73800032" w14:textId="7B041CA2" w:rsidR="00D50AF9" w:rsidRDefault="00D50AF9" w:rsidP="00787A78">
      <w:pPr>
        <w:jc w:val="left"/>
      </w:pPr>
      <w:r>
        <w:t>Retaining the NCA as intermediary is important:</w:t>
      </w:r>
      <w:r>
        <w:br/>
        <w:t>- Maintains supervisory accountability and local support.</w:t>
      </w:r>
      <w:r>
        <w:br/>
        <w:t>- Reduces change for firms (existing secure channels, language/time</w:t>
      </w:r>
      <w:r>
        <w:rPr>
          <w:rFonts w:ascii="Cambria Math" w:hAnsi="Cambria Math" w:cs="Cambria Math"/>
        </w:rPr>
        <w:t>‑</w:t>
      </w:r>
      <w:r>
        <w:t>zone).</w:t>
      </w:r>
      <w:r>
        <w:br/>
        <w:t>- Enables proportionate, context</w:t>
      </w:r>
      <w:r>
        <w:rPr>
          <w:rFonts w:ascii="Cambria Math" w:hAnsi="Cambria Math" w:cs="Cambria Math"/>
        </w:rPr>
        <w:t>‑</w:t>
      </w:r>
      <w:r>
        <w:t>aware supervision while still sharing data EU</w:t>
      </w:r>
      <w:r>
        <w:rPr>
          <w:rFonts w:ascii="Cambria Math" w:hAnsi="Cambria Math" w:cs="Cambria Math"/>
        </w:rPr>
        <w:t>‑</w:t>
      </w:r>
      <w:r>
        <w:t>wide.</w:t>
      </w:r>
    </w:p>
    <w:p w14:paraId="2A92DB8D" w14:textId="0DF1386E" w:rsidR="00D50AF9" w:rsidRDefault="00D50AF9" w:rsidP="00D50AF9">
      <w:r>
        <w:t>&lt;ESMA_QUESTION_ICFD_10&gt;</w:t>
      </w:r>
    </w:p>
    <w:p w14:paraId="5EFD7BE6" w14:textId="77777777" w:rsidR="00D50AF9" w:rsidRDefault="00D50AF9" w:rsidP="00D50AF9">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D8711ED" w14:textId="77777777" w:rsidR="00D50AF9" w:rsidRDefault="00D50AF9" w:rsidP="00D50AF9">
      <w:r>
        <w:t>&lt;ESMA_QUESTION_ICFD_11&gt;</w:t>
      </w:r>
    </w:p>
    <w:p w14:paraId="01C7961B" w14:textId="0E2213D6" w:rsidR="00D50AF9" w:rsidRDefault="00D50AF9" w:rsidP="00D129D6">
      <w:pPr>
        <w:jc w:val="left"/>
      </w:pPr>
      <w:r>
        <w:t>Useful arrangements:</w:t>
      </w:r>
      <w:r>
        <w:br/>
        <w:t>- Report</w:t>
      </w:r>
      <w:r>
        <w:rPr>
          <w:rFonts w:ascii="Cambria Math" w:hAnsi="Cambria Math" w:cs="Cambria Math"/>
        </w:rPr>
        <w:t>‑</w:t>
      </w:r>
      <w:r>
        <w:t>once/use</w:t>
      </w:r>
      <w:r>
        <w:rPr>
          <w:rFonts w:ascii="Cambria Math" w:hAnsi="Cambria Math" w:cs="Cambria Math"/>
        </w:rPr>
        <w:t>‑</w:t>
      </w:r>
      <w:r>
        <w:t>many across ESMA/NCAs via governed data</w:t>
      </w:r>
      <w:r>
        <w:rPr>
          <w:rFonts w:ascii="Cambria Math" w:hAnsi="Cambria Math" w:cs="Cambria Math"/>
        </w:rPr>
        <w:t>‑</w:t>
      </w:r>
      <w:r>
        <w:t>sharing.</w:t>
      </w:r>
      <w:r>
        <w:br/>
        <w:t>- Shared reference/master data services (instruments, entities, calendars).</w:t>
      </w:r>
    </w:p>
    <w:p w14:paraId="151F7507" w14:textId="3C140F78" w:rsidR="00D50AF9" w:rsidRDefault="00D50AF9" w:rsidP="00D50AF9">
      <w:r>
        <w:t>&lt;ESMA_QUESTION_ICFD_11&gt;</w:t>
      </w:r>
    </w:p>
    <w:p w14:paraId="72D93780" w14:textId="77777777" w:rsidR="00D50AF9" w:rsidRDefault="00D50AF9" w:rsidP="00D50AF9">
      <w:pPr>
        <w:pStyle w:val="Questionstyle"/>
        <w:spacing w:before="120" w:after="120"/>
        <w:ind w:left="851" w:hanging="709"/>
      </w:pPr>
      <w:r w:rsidRPr="004B5B43">
        <w:t>Would a phased implementation of the potential</w:t>
      </w:r>
      <w:r w:rsidRPr="0002065D">
        <w:t xml:space="preserve"> changes outlined in the sections on “Integrated reporting” and “Reporting flows and data sharing” help ensure proportionality and facilitate smoother transition?</w:t>
      </w:r>
    </w:p>
    <w:p w14:paraId="12331EEA" w14:textId="77777777" w:rsidR="00D50AF9" w:rsidRDefault="00D50AF9" w:rsidP="00D50AF9">
      <w:r>
        <w:t>&lt;ESMA_QUESTION_ICFD_12&gt;</w:t>
      </w:r>
    </w:p>
    <w:p w14:paraId="4E35C2C3" w14:textId="50BB7520" w:rsidR="00D50AF9" w:rsidRDefault="00D50AF9" w:rsidP="00D129D6">
      <w:pPr>
        <w:jc w:val="left"/>
      </w:pPr>
      <w:r>
        <w:t>A phased implementation (pilot → opt</w:t>
      </w:r>
      <w:r>
        <w:rPr>
          <w:rFonts w:ascii="Cambria Math" w:hAnsi="Cambria Math" w:cs="Cambria Math"/>
        </w:rPr>
        <w:t>‑</w:t>
      </w:r>
      <w:r>
        <w:t xml:space="preserve">in early adopters → mandatory cohorts) would materially lower risk and cost. </w:t>
      </w:r>
    </w:p>
    <w:p w14:paraId="0C76F8D0" w14:textId="3E0DF389" w:rsidR="00D50AF9" w:rsidRDefault="00D50AF9" w:rsidP="00D50AF9">
      <w:r>
        <w:t>&lt;ESMA_QUESTION_ICFD_12&gt;</w:t>
      </w:r>
    </w:p>
    <w:p w14:paraId="4B33F1CB" w14:textId="77777777" w:rsidR="00D50AF9" w:rsidRDefault="00D50AF9" w:rsidP="00D50AF9">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22CFD55C" w14:textId="77777777" w:rsidR="00D50AF9" w:rsidRDefault="00D50AF9" w:rsidP="00D50AF9">
      <w:r>
        <w:t>&lt;ESMA_QUESTION_ICFD_13&gt;</w:t>
      </w:r>
    </w:p>
    <w:p w14:paraId="1A38F162" w14:textId="5EC9F293" w:rsidR="00D50AF9" w:rsidRDefault="00D50AF9" w:rsidP="00DE0C43">
      <w:pPr>
        <w:jc w:val="left"/>
      </w:pPr>
      <w:r>
        <w:t xml:space="preserve">A single common standard can be beneficial if governed and pragmatic. </w:t>
      </w:r>
    </w:p>
    <w:p w14:paraId="1590F09B" w14:textId="77777777" w:rsidR="00D50AF9" w:rsidRDefault="00D50AF9" w:rsidP="00D50AF9">
      <w:r>
        <w:t>&lt;ESMA_QUESTION_ICFD_13&gt;</w:t>
      </w:r>
    </w:p>
    <w:p w14:paraId="746B2008" w14:textId="77777777" w:rsidR="00D50AF9" w:rsidRDefault="00D50AF9" w:rsidP="00D50AF9"/>
    <w:p w14:paraId="4CB8B5D0" w14:textId="77777777" w:rsidR="00D50AF9" w:rsidRDefault="00D50AF9" w:rsidP="00D50AF9">
      <w:pPr>
        <w:pStyle w:val="Questionstyle"/>
        <w:spacing w:before="120" w:after="120"/>
        <w:ind w:left="851" w:hanging="709"/>
      </w:pPr>
      <w:r w:rsidRPr="0002065D">
        <w:lastRenderedPageBreak/>
        <w:t>What would be the main advantages and disadvantages of using respective syntaxes (XML, JSON, XBRL) for reporting frameworks in the asset management sector?</w:t>
      </w:r>
    </w:p>
    <w:p w14:paraId="6523BD68" w14:textId="77777777" w:rsidR="00D50AF9" w:rsidRDefault="00D50AF9" w:rsidP="00D50AF9">
      <w:r>
        <w:t>&lt;ESMA_QUESTION_ICFD_14&gt;</w:t>
      </w:r>
    </w:p>
    <w:p w14:paraId="2B6DCD29" w14:textId="15609141" w:rsidR="00174C39" w:rsidRDefault="002F508B" w:rsidP="00D50AF9">
      <w:r w:rsidRPr="00863BFD">
        <w:t>“TYPE YOUR TEXT HERE”</w:t>
      </w:r>
    </w:p>
    <w:p w14:paraId="013CBBDF" w14:textId="77777777" w:rsidR="00D50AF9" w:rsidRDefault="00D50AF9" w:rsidP="00D50AF9">
      <w:r>
        <w:t>&lt;ESMA_QUESTION_ICFD_14&gt;</w:t>
      </w:r>
    </w:p>
    <w:p w14:paraId="3F32E141" w14:textId="77777777" w:rsidR="00713CC9" w:rsidRDefault="00713CC9" w:rsidP="00D50AF9"/>
    <w:p w14:paraId="2457C583" w14:textId="77777777" w:rsidR="00D50AF9" w:rsidRDefault="00D50AF9" w:rsidP="00D50AF9">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5640F516" w14:textId="77777777" w:rsidR="00D50AF9" w:rsidRDefault="00D50AF9" w:rsidP="00D50AF9">
      <w:r>
        <w:t>&lt;ESMA_QUESTION_ICFD_15&gt;</w:t>
      </w:r>
    </w:p>
    <w:p w14:paraId="150741EC" w14:textId="337E2113" w:rsidR="00D50AF9" w:rsidRDefault="00427933" w:rsidP="00C83DD7">
      <w:r>
        <w:t>Increased</w:t>
      </w:r>
      <w:r w:rsidR="00D50AF9">
        <w:t xml:space="preserve"> granularity </w:t>
      </w:r>
      <w:r w:rsidR="000D633B">
        <w:t>has the potential of</w:t>
      </w:r>
      <w:r w:rsidR="00D50AF9">
        <w:t xml:space="preserve"> improv</w:t>
      </w:r>
      <w:r w:rsidR="000D633B">
        <w:t>ing</w:t>
      </w:r>
      <w:r w:rsidR="00D50AF9">
        <w:t xml:space="preserve"> quality and re</w:t>
      </w:r>
      <w:r w:rsidR="00D50AF9">
        <w:rPr>
          <w:rFonts w:ascii="Cambria Math" w:hAnsi="Cambria Math" w:cs="Cambria Math"/>
        </w:rPr>
        <w:t>‑</w:t>
      </w:r>
      <w:r w:rsidR="00C83DD7">
        <w:t>use but</w:t>
      </w:r>
      <w:r w:rsidR="00D50AF9">
        <w:t xml:space="preserve"> should be risk</w:t>
      </w:r>
      <w:r w:rsidR="00D50AF9">
        <w:rPr>
          <w:rFonts w:ascii="Cambria Math" w:hAnsi="Cambria Math" w:cs="Cambria Math"/>
        </w:rPr>
        <w:t>‑</w:t>
      </w:r>
      <w:r w:rsidR="00D50AF9">
        <w:t>based</w:t>
      </w:r>
      <w:r>
        <w:t xml:space="preserve"> and cost-</w:t>
      </w:r>
      <w:r w:rsidR="00881343">
        <w:t>efficient</w:t>
      </w:r>
      <w:r w:rsidR="00D50AF9">
        <w:t xml:space="preserve">. Using LEIs, ISINs, standard calendars and master data reduces reconciliation and integration costs. Apply materiality thresholds to avoid overwhelming </w:t>
      </w:r>
      <w:r w:rsidR="00F812F3">
        <w:t>smaller entities</w:t>
      </w:r>
      <w:r w:rsidR="00D50AF9">
        <w:t>.</w:t>
      </w:r>
    </w:p>
    <w:p w14:paraId="7A784285" w14:textId="157167D1" w:rsidR="00D50AF9" w:rsidRDefault="00D50AF9" w:rsidP="00D50AF9">
      <w:r>
        <w:t>&lt;ESMA_QUESTION_ICFD_15&gt;</w:t>
      </w:r>
    </w:p>
    <w:p w14:paraId="729CDC01" w14:textId="77777777" w:rsidR="00D50AF9" w:rsidRDefault="00D50AF9" w:rsidP="00D50AF9">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06B0FD97" w14:textId="77777777" w:rsidR="00D50AF9" w:rsidRDefault="00D50AF9" w:rsidP="00D50AF9">
      <w:r>
        <w:t>&lt;ESMA_QUESTION_ICFD_16&gt;</w:t>
      </w:r>
    </w:p>
    <w:p w14:paraId="4EFD3AA2" w14:textId="219DA8FF" w:rsidR="00D50AF9" w:rsidRDefault="002F508B" w:rsidP="005E66C7">
      <w:pPr>
        <w:jc w:val="left"/>
      </w:pPr>
      <w:r w:rsidRPr="00863BFD">
        <w:t>“TYPE YOUR TEXT HERE”</w:t>
      </w:r>
    </w:p>
    <w:p w14:paraId="3A75918D" w14:textId="6D4CE928" w:rsidR="00D50AF9" w:rsidRDefault="00D50AF9" w:rsidP="00D50AF9">
      <w:r>
        <w:t>&lt;ESMA_QUESTION_ICFD_16&gt;</w:t>
      </w:r>
    </w:p>
    <w:p w14:paraId="4B5D8EF6" w14:textId="77777777" w:rsidR="00D50AF9" w:rsidRDefault="00D50AF9" w:rsidP="00D50AF9">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5F424ACF" w14:textId="77777777" w:rsidR="00D50AF9" w:rsidRDefault="00D50AF9" w:rsidP="00D50AF9">
      <w:r>
        <w:t>&lt;ESMA_QUESTION_ICFD_17&gt;</w:t>
      </w:r>
    </w:p>
    <w:p w14:paraId="0D3CC011" w14:textId="52D59038" w:rsidR="00D50AF9" w:rsidRDefault="00D50AF9" w:rsidP="00C83DD7">
      <w:r>
        <w:t>Share</w:t>
      </w:r>
      <w:r>
        <w:rPr>
          <w:rFonts w:ascii="Cambria Math" w:hAnsi="Cambria Math" w:cs="Cambria Math"/>
        </w:rPr>
        <w:t>‑</w:t>
      </w:r>
      <w:r>
        <w:t xml:space="preserve">class level data should </w:t>
      </w:r>
      <w:r w:rsidR="006071C6">
        <w:t xml:space="preserve">only </w:t>
      </w:r>
      <w:r>
        <w:t>include: ISIN, currency/hedging, distribution policy, fees/charges (OCF/TER, management and performance fees), target market flags and class</w:t>
      </w:r>
      <w:r>
        <w:rPr>
          <w:rFonts w:ascii="Cambria Math" w:hAnsi="Cambria Math" w:cs="Cambria Math"/>
        </w:rPr>
        <w:t>‑</w:t>
      </w:r>
      <w:r>
        <w:t>specific costs. Challenges: legacy systems, class proliferation, and aligning charges across regimes.</w:t>
      </w:r>
    </w:p>
    <w:p w14:paraId="33EF1F26" w14:textId="3B2EFC44" w:rsidR="00D50AF9" w:rsidRDefault="00D50AF9" w:rsidP="00D50AF9">
      <w:r>
        <w:lastRenderedPageBreak/>
        <w:t>&lt;ESMA_QUESTION_ICFD_17&gt;</w:t>
      </w:r>
    </w:p>
    <w:p w14:paraId="778ABE28" w14:textId="77777777" w:rsidR="00D50AF9" w:rsidRPr="001B1AE6" w:rsidRDefault="00D50AF9" w:rsidP="00D50AF9">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0ADFE11" w14:textId="77777777" w:rsidR="00D50AF9" w:rsidRDefault="00D50AF9" w:rsidP="00D50AF9">
      <w:r>
        <w:t>&lt;ESMA_QUESTION_ICFD_18&gt;</w:t>
      </w:r>
    </w:p>
    <w:p w14:paraId="25E624D8" w14:textId="0DC96279" w:rsidR="0088408B" w:rsidRDefault="009B53AD" w:rsidP="00C83DD7">
      <w:r>
        <w:t>S</w:t>
      </w:r>
      <w:r w:rsidR="00D50AF9">
        <w:t>elected aggregates can be replaced with granular data (e.g., positions, flows, liquidity buckets) provided there are strong validations and reference data. However, keep certain policy aggregates (e.g., leverage summaries) for readability and proportionality.</w:t>
      </w:r>
      <w:r w:rsidR="00911477">
        <w:t xml:space="preserve"> </w:t>
      </w:r>
      <w:r w:rsidR="009325A2" w:rsidRPr="009325A2">
        <w:t xml:space="preserve">The principal issue to be resolved is the allocation of liability for the calculations in circumstances where these are performed by </w:t>
      </w:r>
      <w:r w:rsidR="009325A2">
        <w:t>the NCA or a central party</w:t>
      </w:r>
      <w:r w:rsidR="009325A2" w:rsidRPr="009325A2">
        <w:t>. It would be undesirable if the fund management company were to provide granular data, while the collecting entity undertakes the calculations and subsequently raises queries, as such an arrangement would fail to achieve any genuine simplification</w:t>
      </w:r>
      <w:r w:rsidR="001F54BE">
        <w:t>.</w:t>
      </w:r>
    </w:p>
    <w:p w14:paraId="5B3F2501" w14:textId="41C87D02" w:rsidR="00D50AF9" w:rsidRDefault="00D50AF9" w:rsidP="00D50AF9">
      <w:r>
        <w:t>&lt;ESMA_QUESTION_ICFD_18&gt;</w:t>
      </w:r>
    </w:p>
    <w:p w14:paraId="207B90C0" w14:textId="77777777" w:rsidR="00D50AF9" w:rsidRDefault="00D50AF9" w:rsidP="00D50AF9">
      <w:pPr>
        <w:pStyle w:val="Questionstyle"/>
        <w:spacing w:before="120" w:after="120"/>
        <w:ind w:left="851" w:hanging="709"/>
      </w:pPr>
      <w:r w:rsidRPr="00C81644">
        <w:t>What additional areas should be investigated under the integrated reporting initiative in terms of data granularity and standardisation?</w:t>
      </w:r>
    </w:p>
    <w:p w14:paraId="3F6CD31E" w14:textId="77777777" w:rsidR="00D50AF9" w:rsidRDefault="00D50AF9" w:rsidP="00D50AF9">
      <w:r>
        <w:t>&lt;ESMA_QUESTION_ICFD_19&gt;</w:t>
      </w:r>
    </w:p>
    <w:p w14:paraId="708122E4" w14:textId="31BB4599" w:rsidR="000673A9" w:rsidRDefault="002F508B" w:rsidP="00D50AF9">
      <w:r w:rsidRPr="00863BFD">
        <w:t>“TYPE YOUR TEXT HERE”</w:t>
      </w:r>
    </w:p>
    <w:p w14:paraId="3402E811" w14:textId="50602A3F" w:rsidR="0088408B" w:rsidRDefault="00D50AF9" w:rsidP="00D50AF9">
      <w:r>
        <w:t>&lt;ESMA_QUESTION_ICFD_19&gt;</w:t>
      </w:r>
    </w:p>
    <w:p w14:paraId="4C49F9C2" w14:textId="77777777" w:rsidR="00D50AF9" w:rsidRPr="001B1AE6" w:rsidRDefault="00D50AF9" w:rsidP="00D50AF9">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58C5359" w14:textId="77777777" w:rsidR="008A22B4" w:rsidRDefault="00D50AF9" w:rsidP="00630489">
      <w:r>
        <w:t>&lt;ESMA_QUESTION_ICFD_20&gt;</w:t>
      </w:r>
    </w:p>
    <w:p w14:paraId="2F70B765" w14:textId="26785D7B" w:rsidR="00302608" w:rsidRDefault="002B7AE9" w:rsidP="00630489">
      <w:r>
        <w:t>For</w:t>
      </w:r>
      <w:r w:rsidR="003069C2">
        <w:t xml:space="preserve"> UCITS and AIF</w:t>
      </w:r>
      <w:r w:rsidR="00CB454E">
        <w:t>s</w:t>
      </w:r>
      <w:r w:rsidR="003069C2">
        <w:t>, r</w:t>
      </w:r>
      <w:r w:rsidR="00630489">
        <w:t>eporting should never be done on a daily or monthly basis. I.e. it should be done on a quarterly basis or less frequent than quarterly</w:t>
      </w:r>
      <w:r w:rsidR="00D50AF9">
        <w:t xml:space="preserve"> Respect existing national practices where they already work well.</w:t>
      </w:r>
      <w:r w:rsidR="00EE6687" w:rsidRPr="00EE6687">
        <w:t xml:space="preserve"> </w:t>
      </w:r>
    </w:p>
    <w:p w14:paraId="7AC6E34B" w14:textId="34F57A8F" w:rsidR="00D50AF9" w:rsidRDefault="00EE6687" w:rsidP="00C4283C">
      <w:r w:rsidRPr="00EE6687">
        <w:t>Consideration should be given to abolishing the requirement for semi-annual reports for funds, as the necessity and added value of such reports may be called into question</w:t>
      </w:r>
      <w:r w:rsidR="00F33E63">
        <w:t>.</w:t>
      </w:r>
      <w:r w:rsidR="006F4A04" w:rsidRPr="006F4A04">
        <w:t xml:space="preserve"> If the requirement</w:t>
      </w:r>
      <w:r w:rsidR="00BE6C3F">
        <w:t xml:space="preserve"> for semi-annual reports for funds</w:t>
      </w:r>
      <w:r w:rsidR="006F4A04" w:rsidRPr="006F4A04">
        <w:t xml:space="preserve"> is to be retained, it shall be simplified so that only performance figures/data are produced, without the inclusion of extensive narrative tex</w:t>
      </w:r>
      <w:r w:rsidR="006F4A04">
        <w:t>t.</w:t>
      </w:r>
    </w:p>
    <w:p w14:paraId="264EBF37" w14:textId="0D22EEB6" w:rsidR="00D50AF9" w:rsidRDefault="00D50AF9" w:rsidP="00D50AF9">
      <w:r>
        <w:t>&lt;ESMA_QUESTION_ICFD_20&gt;</w:t>
      </w:r>
    </w:p>
    <w:p w14:paraId="360A74C0" w14:textId="77777777" w:rsidR="00D50AF9" w:rsidRDefault="00D50AF9" w:rsidP="00D50AF9">
      <w:pPr>
        <w:pStyle w:val="Questionstyle"/>
        <w:spacing w:before="120" w:after="120"/>
        <w:ind w:left="851" w:hanging="709"/>
      </w:pPr>
      <w:r w:rsidRPr="0002065D">
        <w:lastRenderedPageBreak/>
        <w:t>What solutions and criteria should be envisaged to ensure a proportionate approach with respect to the reporting frequency?</w:t>
      </w:r>
    </w:p>
    <w:p w14:paraId="4A2DC670" w14:textId="77777777" w:rsidR="00D50AF9" w:rsidRDefault="00D50AF9" w:rsidP="00D50AF9">
      <w:r>
        <w:t>&lt;ESMA_QUESTION_ICFD_21&gt;</w:t>
      </w:r>
    </w:p>
    <w:p w14:paraId="5922849D" w14:textId="060093ED" w:rsidR="00D50AF9" w:rsidRDefault="00D50AF9" w:rsidP="005C6511">
      <w:r>
        <w:t>Proportionality criteria: AuM/complexity thresholds, leverage/liquidity profiles, and significance of cross</w:t>
      </w:r>
      <w:r>
        <w:rPr>
          <w:rFonts w:ascii="Cambria Math" w:hAnsi="Cambria Math" w:cs="Cambria Math"/>
        </w:rPr>
        <w:t>‑</w:t>
      </w:r>
      <w:r>
        <w:t xml:space="preserve">border distribution. </w:t>
      </w:r>
      <w:r w:rsidR="00FF4E78">
        <w:t>B</w:t>
      </w:r>
      <w:r>
        <w:t>lanket higher frequencies</w:t>
      </w:r>
      <w:r w:rsidR="00FF4E78">
        <w:t xml:space="preserve"> should not be used to cover the need for information in special, event-driven circumstances, e.g. in stressed situations/crises</w:t>
      </w:r>
      <w:r>
        <w:t>.</w:t>
      </w:r>
    </w:p>
    <w:p w14:paraId="50A8ED41" w14:textId="347136FC" w:rsidR="00D50AF9" w:rsidRDefault="00D50AF9" w:rsidP="00D50AF9">
      <w:r>
        <w:t>&lt;ESMA_QUESTION_ICFD_21&gt;</w:t>
      </w:r>
    </w:p>
    <w:p w14:paraId="7BA2B5FE" w14:textId="77777777" w:rsidR="00D50AF9" w:rsidRPr="001B1AE6" w:rsidRDefault="00D50AF9" w:rsidP="00D50AF9">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2C2CDA3E" w14:textId="77777777" w:rsidR="00D50AF9" w:rsidRDefault="00D50AF9" w:rsidP="00D50AF9">
      <w:r>
        <w:t>&lt;ESMA_QUESTION_ICFD_22&gt;</w:t>
      </w:r>
    </w:p>
    <w:p w14:paraId="4FBD57DC" w14:textId="2F350C60" w:rsidR="00D50AF9" w:rsidRDefault="00D50AF9" w:rsidP="005C6511">
      <w:r>
        <w:t>If daily reporting is required, scope it tightly to key risk/liquidity fields, use efficient APIs, and rely on deltas rather than full reloads. Daily reporting should be limited to regimes with proven need (e.g., MMFs) and be time</w:t>
      </w:r>
      <w:r>
        <w:rPr>
          <w:rFonts w:ascii="Cambria Math" w:hAnsi="Cambria Math" w:cs="Cambria Math"/>
        </w:rPr>
        <w:t>‑</w:t>
      </w:r>
      <w:r>
        <w:t>boxed for crisis periods.</w:t>
      </w:r>
    </w:p>
    <w:p w14:paraId="18234AB6" w14:textId="7F3636DD" w:rsidR="00D50AF9" w:rsidRDefault="00D50AF9" w:rsidP="00D50AF9">
      <w:r>
        <w:t>&lt;ESMA_QUESTION_ICFD_22&gt;</w:t>
      </w:r>
    </w:p>
    <w:p w14:paraId="1CF5D779" w14:textId="77777777" w:rsidR="00D50AF9" w:rsidRDefault="00D50AF9" w:rsidP="00D50AF9">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1E580F02" w14:textId="77777777" w:rsidR="00D50AF9" w:rsidRDefault="00D50AF9" w:rsidP="00D50AF9">
      <w:r>
        <w:t>&lt;ESMA_QUESTION_ICFD_23&gt;</w:t>
      </w:r>
    </w:p>
    <w:p w14:paraId="33446F3B" w14:textId="40B63FE1" w:rsidR="00D50AF9" w:rsidRDefault="00D50AF9" w:rsidP="005C6511">
      <w:r>
        <w:t>Exceptional</w:t>
      </w:r>
      <w:r>
        <w:rPr>
          <w:rFonts w:ascii="Cambria Math" w:hAnsi="Cambria Math" w:cs="Cambria Math"/>
        </w:rPr>
        <w:t>‑</w:t>
      </w:r>
      <w:r>
        <w:t>circumstances template: keep a core minimal set (identity, NAV, flows, liquidity, exposures) with modular crisis add</w:t>
      </w:r>
      <w:r>
        <w:rPr>
          <w:rFonts w:ascii="Cambria Math" w:hAnsi="Cambria Math" w:cs="Cambria Math"/>
        </w:rPr>
        <w:t>‑</w:t>
      </w:r>
      <w:r>
        <w:t>ons relevant to the event. Pre</w:t>
      </w:r>
      <w:r>
        <w:rPr>
          <w:rFonts w:ascii="Cambria Math" w:hAnsi="Cambria Math" w:cs="Cambria Math"/>
        </w:rPr>
        <w:t>‑</w:t>
      </w:r>
      <w:r>
        <w:t>define placeholders but activate only the needed modules; pre</w:t>
      </w:r>
      <w:r>
        <w:rPr>
          <w:rFonts w:ascii="Cambria Math" w:hAnsi="Cambria Math" w:cs="Cambria Math"/>
        </w:rPr>
        <w:t>‑</w:t>
      </w:r>
      <w:r>
        <w:t>test through crisis simulations.</w:t>
      </w:r>
    </w:p>
    <w:p w14:paraId="4BE3BB65" w14:textId="460178FF" w:rsidR="007B005E" w:rsidRDefault="00D50AF9" w:rsidP="00D50AF9">
      <w:r>
        <w:t>&lt;ESMA_QUESTION_ICFD_23&gt;</w:t>
      </w:r>
    </w:p>
    <w:p w14:paraId="059380DF" w14:textId="77777777" w:rsidR="00D50AF9" w:rsidRPr="001B1AE6" w:rsidRDefault="00D50AF9" w:rsidP="00D50AF9">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06C3B199" w14:textId="77777777" w:rsidR="00D50AF9" w:rsidRDefault="00D50AF9" w:rsidP="00D50AF9">
      <w:r>
        <w:t>&lt;ESMA_QUESTION_ICFD_24&gt;</w:t>
      </w:r>
    </w:p>
    <w:p w14:paraId="1C80F21B" w14:textId="05891B23" w:rsidR="00D50AF9" w:rsidRDefault="00D50AF9" w:rsidP="005C6511">
      <w:r>
        <w:t>Additional dimensions: strong governance and versioning, synchronised release calendars, public implementation guides, and explicit de</w:t>
      </w:r>
      <w:r>
        <w:rPr>
          <w:rFonts w:ascii="Cambria Math" w:hAnsi="Cambria Math" w:cs="Cambria Math"/>
        </w:rPr>
        <w:t>‑</w:t>
      </w:r>
      <w:r>
        <w:t>scoping of the half</w:t>
      </w:r>
      <w:r>
        <w:rPr>
          <w:rFonts w:ascii="Cambria Math" w:hAnsi="Cambria Math" w:cs="Cambria Math"/>
        </w:rPr>
        <w:t>‑</w:t>
      </w:r>
      <w:r>
        <w:t>year report if its marginal benefit is low. Above all, avoid parallel national reporting once the EU model is in place.</w:t>
      </w:r>
    </w:p>
    <w:p w14:paraId="19D4C024" w14:textId="77777777" w:rsidR="00D50AF9" w:rsidRDefault="00D50AF9" w:rsidP="00D50AF9">
      <w:r>
        <w:lastRenderedPageBreak/>
        <w:t>&lt;ESMA_QUESTION_ICFD_24&gt;</w:t>
      </w:r>
    </w:p>
    <w:p w14:paraId="11DBDFC0" w14:textId="77777777" w:rsidR="00D50AF9" w:rsidRDefault="00D50AF9" w:rsidP="00D50AF9"/>
    <w:p w14:paraId="3B2384D8" w14:textId="77777777" w:rsidR="00D50AF9" w:rsidRDefault="00D50AF9" w:rsidP="00D50AF9"/>
    <w:p w14:paraId="5CAC1FDE" w14:textId="77777777" w:rsidR="00D50AF9" w:rsidRDefault="00D50AF9" w:rsidP="00D50AF9">
      <w:pPr>
        <w:spacing w:after="0" w:line="240" w:lineRule="auto"/>
        <w:jc w:val="left"/>
      </w:pPr>
    </w:p>
    <w:p w14:paraId="2B47627E" w14:textId="77777777" w:rsidR="006C5DBF" w:rsidRDefault="006C5DBF"/>
    <w:sectPr w:rsidR="006C5DBF" w:rsidSect="00D50AF9">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22E1" w14:textId="77777777" w:rsidR="00012DAD" w:rsidRDefault="00012DAD">
      <w:pPr>
        <w:spacing w:after="0" w:line="240" w:lineRule="auto"/>
      </w:pPr>
      <w:r>
        <w:separator/>
      </w:r>
    </w:p>
  </w:endnote>
  <w:endnote w:type="continuationSeparator" w:id="0">
    <w:p w14:paraId="559928B6" w14:textId="77777777" w:rsidR="00012DAD" w:rsidRDefault="00012DAD">
      <w:pPr>
        <w:spacing w:after="0" w:line="240" w:lineRule="auto"/>
      </w:pPr>
      <w:r>
        <w:continuationSeparator/>
      </w:r>
    </w:p>
  </w:endnote>
  <w:endnote w:type="continuationNotice" w:id="1">
    <w:p w14:paraId="0FED33BC" w14:textId="77777777" w:rsidR="00012DAD" w:rsidRDefault="00012D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EF68" w14:textId="77777777" w:rsidR="005E66C7" w:rsidRPr="00104E00" w:rsidRDefault="005E66C7" w:rsidP="00104E00">
    <w:pPr>
      <w:pStyle w:val="Sidfot"/>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nk"/>
          <w:sz w:val="15"/>
          <w:szCs w:val="15"/>
          <w:lang w:val="fr-FR"/>
        </w:rPr>
        <w:t>www.esma.</w:t>
      </w:r>
      <w:r w:rsidRPr="00A8626B">
        <w:rPr>
          <w:rStyle w:val="Hyperlnk"/>
          <w:sz w:val="15"/>
          <w:szCs w:val="15"/>
          <w:lang w:val="fr-BE"/>
        </w:rPr>
        <w:t>europa</w:t>
      </w:r>
      <w:r w:rsidRPr="00A8626B">
        <w:rPr>
          <w:rStyle w:val="Hyperl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EF76" w14:textId="77777777" w:rsidR="005E66C7" w:rsidRPr="00104E00" w:rsidRDefault="005E66C7" w:rsidP="00104E00">
    <w:pPr>
      <w:pStyle w:val="Sidfot"/>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nk"/>
          <w:sz w:val="15"/>
          <w:szCs w:val="15"/>
          <w:lang w:val="fr-FR"/>
        </w:rPr>
        <w:t>www.esma.</w:t>
      </w:r>
      <w:r w:rsidRPr="00A8626B">
        <w:rPr>
          <w:rStyle w:val="Hyperlnk"/>
          <w:sz w:val="15"/>
          <w:szCs w:val="15"/>
          <w:lang w:val="fr-BE"/>
        </w:rPr>
        <w:t>europa</w:t>
      </w:r>
      <w:r w:rsidRPr="00A8626B">
        <w:rPr>
          <w:rStyle w:val="Hyperl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sidRPr="00104E00">
          <w:rPr>
            <w:noProof/>
            <w:color w:val="001B4F"/>
            <w:sz w:val="15"/>
            <w:szCs w:val="15"/>
            <w:lang w:val="fr-FR"/>
          </w:rPr>
          <w:t>2</w:t>
        </w:r>
        <w:r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FF43" w14:textId="77777777" w:rsidR="00012DAD" w:rsidRDefault="00012DAD">
      <w:pPr>
        <w:spacing w:after="0" w:line="240" w:lineRule="auto"/>
      </w:pPr>
      <w:r>
        <w:separator/>
      </w:r>
    </w:p>
  </w:footnote>
  <w:footnote w:type="continuationSeparator" w:id="0">
    <w:p w14:paraId="112D8F9D" w14:textId="77777777" w:rsidR="00012DAD" w:rsidRDefault="00012DAD">
      <w:pPr>
        <w:spacing w:after="0" w:line="240" w:lineRule="auto"/>
      </w:pPr>
      <w:r>
        <w:continuationSeparator/>
      </w:r>
    </w:p>
  </w:footnote>
  <w:footnote w:type="continuationNotice" w:id="1">
    <w:p w14:paraId="271E5932" w14:textId="77777777" w:rsidR="00012DAD" w:rsidRDefault="00012D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CF7C" w14:textId="77777777" w:rsidR="005E66C7" w:rsidRPr="00F87468" w:rsidRDefault="005E66C7" w:rsidP="00C54034">
    <w:pPr>
      <w:pStyle w:val="HeaderFoot"/>
    </w:pPr>
  </w:p>
  <w:p w14:paraId="5BCC9CF0" w14:textId="77777777" w:rsidR="005E66C7" w:rsidRDefault="005E66C7" w:rsidP="00C54034">
    <w:pPr>
      <w:pStyle w:val="HeaderFoot"/>
      <w:rPr>
        <w:lang w:val="fr-FR"/>
      </w:rPr>
    </w:pPr>
  </w:p>
  <w:p w14:paraId="53AD9BAC" w14:textId="77777777" w:rsidR="005E66C7" w:rsidRDefault="005E66C7" w:rsidP="00C54034">
    <w:pPr>
      <w:pStyle w:val="HeaderFoot"/>
      <w:rPr>
        <w:lang w:val="fr-FR"/>
      </w:rPr>
    </w:pPr>
  </w:p>
  <w:p w14:paraId="4639F252" w14:textId="77777777" w:rsidR="005E66C7" w:rsidRDefault="005E66C7" w:rsidP="00C54034">
    <w:pPr>
      <w:pStyle w:val="HeaderFoot"/>
      <w:rPr>
        <w:lang w:val="fr-FR"/>
      </w:rPr>
    </w:pPr>
  </w:p>
  <w:p w14:paraId="38120FA7" w14:textId="77777777" w:rsidR="005E66C7" w:rsidRDefault="005E66C7" w:rsidP="00C54034">
    <w:pPr>
      <w:pStyle w:val="HeaderFoot"/>
      <w:rPr>
        <w:lang w:val="fr-FR"/>
      </w:rPr>
    </w:pPr>
  </w:p>
  <w:p w14:paraId="27EF47AC" w14:textId="77777777" w:rsidR="005E66C7" w:rsidRDefault="005E66C7" w:rsidP="00C54034">
    <w:pPr>
      <w:pStyle w:val="HeaderFoot"/>
      <w:rPr>
        <w:lang w:val="fr-FR"/>
      </w:rPr>
    </w:pPr>
  </w:p>
  <w:p w14:paraId="219D4856" w14:textId="77777777" w:rsidR="005E66C7" w:rsidRDefault="005E66C7" w:rsidP="00C54034">
    <w:pPr>
      <w:pStyle w:val="HeaderFoot"/>
      <w:rPr>
        <w:lang w:val="fr-FR"/>
      </w:rPr>
    </w:pPr>
  </w:p>
  <w:p w14:paraId="29ECBD39" w14:textId="77777777" w:rsidR="005E66C7" w:rsidRDefault="005E66C7" w:rsidP="00C54034">
    <w:pPr>
      <w:pStyle w:val="HeaderFoot"/>
      <w:rPr>
        <w:lang w:val="fr-FR"/>
      </w:rPr>
    </w:pPr>
  </w:p>
  <w:p w14:paraId="7A23ED19" w14:textId="77777777" w:rsidR="005E66C7" w:rsidRDefault="005E66C7" w:rsidP="00C54034">
    <w:pPr>
      <w:pStyle w:val="HeaderFoot"/>
      <w:rPr>
        <w:lang w:val="fr-FR"/>
      </w:rPr>
    </w:pPr>
  </w:p>
  <w:p w14:paraId="4F4BDD87" w14:textId="77777777" w:rsidR="005E66C7" w:rsidRDefault="005E66C7" w:rsidP="00C54034">
    <w:pPr>
      <w:pStyle w:val="HeaderFoot"/>
      <w:rPr>
        <w:lang w:val="fr-FR"/>
      </w:rPr>
    </w:pPr>
  </w:p>
  <w:p w14:paraId="2C7E7137" w14:textId="77777777" w:rsidR="005E66C7" w:rsidRDefault="005E66C7" w:rsidP="00C54034">
    <w:pPr>
      <w:pStyle w:val="HeaderFoot"/>
      <w:rPr>
        <w:lang w:val="fr-FR"/>
      </w:rPr>
    </w:pPr>
  </w:p>
  <w:p w14:paraId="09CA1769" w14:textId="77777777" w:rsidR="005E66C7" w:rsidRDefault="005E66C7" w:rsidP="00C54034">
    <w:pPr>
      <w:pStyle w:val="HeaderFoot"/>
      <w:rPr>
        <w:lang w:val="fr-FR"/>
      </w:rPr>
    </w:pPr>
  </w:p>
  <w:p w14:paraId="28F0D51D" w14:textId="77777777" w:rsidR="005E66C7" w:rsidRPr="00C54034" w:rsidRDefault="005E66C7" w:rsidP="00C54034">
    <w:pPr>
      <w:pStyle w:val="HeaderFoot"/>
      <w:rPr>
        <w:lang w:val="fr-FR"/>
      </w:rPr>
    </w:pPr>
    <w:r w:rsidRPr="00C54034">
      <w:rPr>
        <w:noProof/>
        <w:lang w:val="fr-FR"/>
      </w:rPr>
      <w:drawing>
        <wp:anchor distT="0" distB="0" distL="114300" distR="114300" simplePos="0" relativeHeight="251658242" behindDoc="0" locked="0" layoutInCell="1" allowOverlap="1" wp14:anchorId="18E06801" wp14:editId="74029C71">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7B2B" w14:textId="77777777" w:rsidR="005E66C7" w:rsidRDefault="005E66C7" w:rsidP="00F716D4">
    <w:pPr>
      <w:pStyle w:val="HeaderFoot"/>
      <w:rPr>
        <w:highlight w:val="yellow"/>
      </w:rPr>
    </w:pPr>
    <w:bookmarkStart w:id="4" w:name="_Hlk124775980"/>
    <w:bookmarkStart w:id="5" w:name="_Hlk124775948"/>
  </w:p>
  <w:p w14:paraId="4812E51B" w14:textId="77777777" w:rsidR="005E66C7" w:rsidRPr="005B787C" w:rsidRDefault="005E66C7" w:rsidP="00F716D4">
    <w:pPr>
      <w:pStyle w:val="HeaderFoot"/>
    </w:pPr>
    <w:r w:rsidRPr="005B787C">
      <w:t>23 June 202</w:t>
    </w:r>
    <w:bookmarkEnd w:id="4"/>
    <w:r w:rsidRPr="005B787C">
      <w:t>5</w:t>
    </w:r>
  </w:p>
  <w:bookmarkEnd w:id="5"/>
  <w:p w14:paraId="17EC1766" w14:textId="77777777" w:rsidR="005E66C7" w:rsidRPr="00F716D4" w:rsidRDefault="005E66C7" w:rsidP="00C54034">
    <w:pPr>
      <w:pStyle w:val="HeaderFoot"/>
    </w:pPr>
    <w:r w:rsidRPr="005B787C">
      <w:t>ESMA12-2121844265-4923</w:t>
    </w:r>
    <w:r w:rsidRPr="00F716D4">
      <w:rPr>
        <w:rStyle w:val="ESMAConfidentialRestricted"/>
        <w:noProof/>
        <w:highlight w:val="yellow"/>
      </w:rPr>
      <w:drawing>
        <wp:anchor distT="0" distB="0" distL="114300" distR="114300" simplePos="0" relativeHeight="251658240" behindDoc="0" locked="0" layoutInCell="1" allowOverlap="1" wp14:anchorId="23389017" wp14:editId="4BFC91B4">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5061D" w14:textId="77777777" w:rsidR="005E66C7" w:rsidRDefault="005E66C7"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FFEA" w14:textId="77777777" w:rsidR="005E66C7" w:rsidRPr="00F87468" w:rsidRDefault="005E66C7" w:rsidP="005C56D3">
    <w:pPr>
      <w:pStyle w:val="HeaderFoot"/>
    </w:pPr>
  </w:p>
  <w:p w14:paraId="426171C0" w14:textId="77777777" w:rsidR="005E66C7" w:rsidRDefault="005E66C7" w:rsidP="005C56D3">
    <w:pPr>
      <w:pStyle w:val="HeaderFoot"/>
      <w:rPr>
        <w:lang w:val="fr-FR"/>
      </w:rPr>
    </w:pPr>
  </w:p>
  <w:p w14:paraId="2F55A001" w14:textId="77777777" w:rsidR="005E66C7" w:rsidRDefault="005E66C7" w:rsidP="005C56D3">
    <w:pPr>
      <w:pStyle w:val="HeaderFoot"/>
      <w:rPr>
        <w:lang w:val="fr-FR"/>
      </w:rPr>
    </w:pPr>
  </w:p>
  <w:p w14:paraId="02E80442" w14:textId="77777777" w:rsidR="005E66C7" w:rsidRDefault="005E66C7" w:rsidP="005C56D3">
    <w:pPr>
      <w:pStyle w:val="HeaderFoot"/>
      <w:rPr>
        <w:lang w:val="fr-FR"/>
      </w:rPr>
    </w:pPr>
  </w:p>
  <w:p w14:paraId="19F80CCE" w14:textId="77777777" w:rsidR="005E66C7" w:rsidRDefault="005E66C7" w:rsidP="005C56D3">
    <w:pPr>
      <w:pStyle w:val="HeaderFoot"/>
      <w:rPr>
        <w:lang w:val="fr-FR"/>
      </w:rPr>
    </w:pPr>
  </w:p>
  <w:p w14:paraId="5C0FF07C" w14:textId="77777777" w:rsidR="005E66C7" w:rsidRDefault="005E66C7" w:rsidP="005C56D3">
    <w:pPr>
      <w:pStyle w:val="HeaderFoot"/>
      <w:rPr>
        <w:lang w:val="fr-FR"/>
      </w:rPr>
    </w:pPr>
  </w:p>
  <w:p w14:paraId="6A89B7FC" w14:textId="77777777" w:rsidR="005E66C7" w:rsidRDefault="005E66C7" w:rsidP="005C56D3">
    <w:pPr>
      <w:pStyle w:val="HeaderFoot"/>
      <w:rPr>
        <w:lang w:val="fr-FR"/>
      </w:rPr>
    </w:pPr>
  </w:p>
  <w:p w14:paraId="406430D0" w14:textId="77777777" w:rsidR="005E66C7" w:rsidRDefault="005E66C7" w:rsidP="005C56D3">
    <w:pPr>
      <w:pStyle w:val="HeaderFoot"/>
      <w:rPr>
        <w:lang w:val="fr-FR"/>
      </w:rPr>
    </w:pPr>
  </w:p>
  <w:p w14:paraId="5EB1757A" w14:textId="77777777" w:rsidR="005E66C7" w:rsidRDefault="005E66C7" w:rsidP="005C56D3">
    <w:pPr>
      <w:pStyle w:val="HeaderFoot"/>
      <w:rPr>
        <w:lang w:val="fr-FR"/>
      </w:rPr>
    </w:pPr>
  </w:p>
  <w:p w14:paraId="58F4A1F6" w14:textId="77777777" w:rsidR="005E66C7" w:rsidRDefault="005E66C7" w:rsidP="005C56D3">
    <w:pPr>
      <w:pStyle w:val="HeaderFoot"/>
      <w:rPr>
        <w:lang w:val="fr-FR"/>
      </w:rPr>
    </w:pPr>
  </w:p>
  <w:p w14:paraId="3BF62FA3" w14:textId="77777777" w:rsidR="005E66C7" w:rsidRDefault="005E66C7" w:rsidP="005C56D3">
    <w:pPr>
      <w:pStyle w:val="HeaderFoot"/>
      <w:rPr>
        <w:lang w:val="fr-FR"/>
      </w:rPr>
    </w:pPr>
  </w:p>
  <w:p w14:paraId="6E8E4ED0" w14:textId="77777777" w:rsidR="005E66C7" w:rsidRDefault="005E66C7" w:rsidP="005C56D3">
    <w:pPr>
      <w:pStyle w:val="HeaderFoot"/>
      <w:rPr>
        <w:lang w:val="fr-FR"/>
      </w:rPr>
    </w:pPr>
  </w:p>
  <w:p w14:paraId="64727028" w14:textId="77777777" w:rsidR="005E66C7" w:rsidRPr="00F87468" w:rsidRDefault="005E66C7" w:rsidP="005C56D3">
    <w:pPr>
      <w:pStyle w:val="HeaderFoot"/>
      <w:rPr>
        <w:lang w:val="fr-FR"/>
      </w:rPr>
    </w:pPr>
    <w:r w:rsidRPr="00F87468">
      <w:rPr>
        <w:rStyle w:val="ESMARegularuse"/>
        <w:bCs w:val="0"/>
        <w:caps w:val="0"/>
        <w:noProof/>
        <w:color w:val="000000" w:themeColor="text1" w:themeShade="80"/>
      </w:rPr>
      <w:drawing>
        <wp:anchor distT="0" distB="0" distL="114300" distR="114300" simplePos="0" relativeHeight="251658241" behindDoc="0" locked="0" layoutInCell="1" allowOverlap="1" wp14:anchorId="336E8DF1" wp14:editId="33483171">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2232B"/>
    <w:multiLevelType w:val="hybridMultilevel"/>
    <w:tmpl w:val="AA422892"/>
    <w:lvl w:ilvl="0" w:tplc="CD90B470">
      <w:start w:val="1"/>
      <w:numFmt w:val="decimal"/>
      <w:pStyle w:val="Questionstyle"/>
      <w:lvlText w:val="Q%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469176496">
    <w:abstractNumId w:val="0"/>
  </w:num>
  <w:num w:numId="2" w16cid:durableId="674843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AF9"/>
    <w:rsid w:val="00012DAD"/>
    <w:rsid w:val="00015E83"/>
    <w:rsid w:val="000444A0"/>
    <w:rsid w:val="00046EEF"/>
    <w:rsid w:val="000673A9"/>
    <w:rsid w:val="00090C1C"/>
    <w:rsid w:val="000A0FA0"/>
    <w:rsid w:val="000A669F"/>
    <w:rsid w:val="000C01D2"/>
    <w:rsid w:val="000D633B"/>
    <w:rsid w:val="000D6A21"/>
    <w:rsid w:val="000F2B09"/>
    <w:rsid w:val="00105A4A"/>
    <w:rsid w:val="00107E27"/>
    <w:rsid w:val="00174C39"/>
    <w:rsid w:val="0018294E"/>
    <w:rsid w:val="001A4B9F"/>
    <w:rsid w:val="001C19A4"/>
    <w:rsid w:val="001D77E1"/>
    <w:rsid w:val="001F54BE"/>
    <w:rsid w:val="001F68B2"/>
    <w:rsid w:val="00251974"/>
    <w:rsid w:val="00257F1F"/>
    <w:rsid w:val="00296D8C"/>
    <w:rsid w:val="002B2B08"/>
    <w:rsid w:val="002B7AE9"/>
    <w:rsid w:val="002D1D58"/>
    <w:rsid w:val="002F508B"/>
    <w:rsid w:val="00302608"/>
    <w:rsid w:val="003069C2"/>
    <w:rsid w:val="003122FD"/>
    <w:rsid w:val="00324F99"/>
    <w:rsid w:val="00350E50"/>
    <w:rsid w:val="00361059"/>
    <w:rsid w:val="003958F9"/>
    <w:rsid w:val="003A4E1B"/>
    <w:rsid w:val="003B4C6D"/>
    <w:rsid w:val="003B51E9"/>
    <w:rsid w:val="003E6404"/>
    <w:rsid w:val="003E7D7B"/>
    <w:rsid w:val="0040420E"/>
    <w:rsid w:val="00423758"/>
    <w:rsid w:val="00426C43"/>
    <w:rsid w:val="00427933"/>
    <w:rsid w:val="0044224B"/>
    <w:rsid w:val="004537EE"/>
    <w:rsid w:val="00467F2B"/>
    <w:rsid w:val="004741A1"/>
    <w:rsid w:val="00475CD3"/>
    <w:rsid w:val="004A5682"/>
    <w:rsid w:val="004B5AFD"/>
    <w:rsid w:val="004B5B43"/>
    <w:rsid w:val="004C498D"/>
    <w:rsid w:val="004D4B91"/>
    <w:rsid w:val="004D5CD1"/>
    <w:rsid w:val="004E7980"/>
    <w:rsid w:val="004F5C24"/>
    <w:rsid w:val="005011FF"/>
    <w:rsid w:val="005078AE"/>
    <w:rsid w:val="00522977"/>
    <w:rsid w:val="00533CDC"/>
    <w:rsid w:val="00542279"/>
    <w:rsid w:val="0056357F"/>
    <w:rsid w:val="00565319"/>
    <w:rsid w:val="00571F58"/>
    <w:rsid w:val="005B6D41"/>
    <w:rsid w:val="005C6511"/>
    <w:rsid w:val="005E4DB9"/>
    <w:rsid w:val="005E66C7"/>
    <w:rsid w:val="006020A1"/>
    <w:rsid w:val="006071C6"/>
    <w:rsid w:val="00630489"/>
    <w:rsid w:val="006A25CC"/>
    <w:rsid w:val="006A6EEC"/>
    <w:rsid w:val="006C5DBF"/>
    <w:rsid w:val="006D2033"/>
    <w:rsid w:val="006D53AB"/>
    <w:rsid w:val="006F4A04"/>
    <w:rsid w:val="006F55C3"/>
    <w:rsid w:val="006F7312"/>
    <w:rsid w:val="00713CC9"/>
    <w:rsid w:val="0072065E"/>
    <w:rsid w:val="0074741C"/>
    <w:rsid w:val="007476FB"/>
    <w:rsid w:val="007509FE"/>
    <w:rsid w:val="00751D77"/>
    <w:rsid w:val="00773687"/>
    <w:rsid w:val="00787A78"/>
    <w:rsid w:val="007B005E"/>
    <w:rsid w:val="00813E60"/>
    <w:rsid w:val="008523E9"/>
    <w:rsid w:val="00853F84"/>
    <w:rsid w:val="008555F1"/>
    <w:rsid w:val="00872D63"/>
    <w:rsid w:val="00881343"/>
    <w:rsid w:val="0088408B"/>
    <w:rsid w:val="008A043E"/>
    <w:rsid w:val="008A22B4"/>
    <w:rsid w:val="008D2AB4"/>
    <w:rsid w:val="008D358B"/>
    <w:rsid w:val="008E1334"/>
    <w:rsid w:val="008E3BEC"/>
    <w:rsid w:val="008F13B1"/>
    <w:rsid w:val="008F3F67"/>
    <w:rsid w:val="00911477"/>
    <w:rsid w:val="00914C4E"/>
    <w:rsid w:val="00920F6B"/>
    <w:rsid w:val="009325A2"/>
    <w:rsid w:val="00940FE2"/>
    <w:rsid w:val="009666F7"/>
    <w:rsid w:val="00986CD7"/>
    <w:rsid w:val="009A7306"/>
    <w:rsid w:val="009B012B"/>
    <w:rsid w:val="009B37D5"/>
    <w:rsid w:val="009B53AD"/>
    <w:rsid w:val="009B6A2F"/>
    <w:rsid w:val="009D2431"/>
    <w:rsid w:val="009D4167"/>
    <w:rsid w:val="009D7A9D"/>
    <w:rsid w:val="00A03BC5"/>
    <w:rsid w:val="00A31238"/>
    <w:rsid w:val="00A42882"/>
    <w:rsid w:val="00A5068E"/>
    <w:rsid w:val="00A54ECF"/>
    <w:rsid w:val="00A961B6"/>
    <w:rsid w:val="00AA2B57"/>
    <w:rsid w:val="00AE07E4"/>
    <w:rsid w:val="00AE5916"/>
    <w:rsid w:val="00AE7F10"/>
    <w:rsid w:val="00B07207"/>
    <w:rsid w:val="00B60B94"/>
    <w:rsid w:val="00B73A7C"/>
    <w:rsid w:val="00BA22F0"/>
    <w:rsid w:val="00BE6C3F"/>
    <w:rsid w:val="00BF583C"/>
    <w:rsid w:val="00C06A6B"/>
    <w:rsid w:val="00C139C7"/>
    <w:rsid w:val="00C145FE"/>
    <w:rsid w:val="00C17DD8"/>
    <w:rsid w:val="00C33674"/>
    <w:rsid w:val="00C4283C"/>
    <w:rsid w:val="00C6611D"/>
    <w:rsid w:val="00C67867"/>
    <w:rsid w:val="00C83DD7"/>
    <w:rsid w:val="00C85F0B"/>
    <w:rsid w:val="00CA7D2C"/>
    <w:rsid w:val="00CB34CC"/>
    <w:rsid w:val="00CB454E"/>
    <w:rsid w:val="00CE3FA6"/>
    <w:rsid w:val="00CF1EBB"/>
    <w:rsid w:val="00CF488F"/>
    <w:rsid w:val="00D129D6"/>
    <w:rsid w:val="00D50AF9"/>
    <w:rsid w:val="00D5103B"/>
    <w:rsid w:val="00DB312A"/>
    <w:rsid w:val="00DE0C43"/>
    <w:rsid w:val="00DE6CC7"/>
    <w:rsid w:val="00DF3EEA"/>
    <w:rsid w:val="00DF7A0D"/>
    <w:rsid w:val="00E12E14"/>
    <w:rsid w:val="00E13AF3"/>
    <w:rsid w:val="00E413D7"/>
    <w:rsid w:val="00E874A5"/>
    <w:rsid w:val="00EA2B29"/>
    <w:rsid w:val="00EC13F9"/>
    <w:rsid w:val="00ED1BED"/>
    <w:rsid w:val="00ED708A"/>
    <w:rsid w:val="00EE6687"/>
    <w:rsid w:val="00EF2F8E"/>
    <w:rsid w:val="00EF7426"/>
    <w:rsid w:val="00F13DA7"/>
    <w:rsid w:val="00F221E0"/>
    <w:rsid w:val="00F32B70"/>
    <w:rsid w:val="00F33E63"/>
    <w:rsid w:val="00F36C1D"/>
    <w:rsid w:val="00F569DF"/>
    <w:rsid w:val="00F80646"/>
    <w:rsid w:val="00F812F3"/>
    <w:rsid w:val="00F825C4"/>
    <w:rsid w:val="00F83D5E"/>
    <w:rsid w:val="00FA00AA"/>
    <w:rsid w:val="00FF4E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949A"/>
  <w15:chartTrackingRefBased/>
  <w15:docId w15:val="{40202255-6401-435C-BB64-98529B5B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238"/>
    <w:pPr>
      <w:spacing w:after="250" w:line="276" w:lineRule="auto"/>
      <w:jc w:val="both"/>
    </w:pPr>
    <w:rPr>
      <w:rFonts w:ascii="Arial" w:eastAsiaTheme="minorEastAsia" w:hAnsi="Arial" w:cs="Arial"/>
      <w:color w:val="1A1A1A" w:themeColor="background1" w:themeShade="1A"/>
      <w:kern w:val="0"/>
      <w:sz w:val="22"/>
      <w:szCs w:val="20"/>
      <w:lang w:val="en-GB"/>
      <w14:ligatures w14:val="none"/>
    </w:rPr>
  </w:style>
  <w:style w:type="paragraph" w:styleId="Rubrik1">
    <w:name w:val="heading 1"/>
    <w:basedOn w:val="Normal"/>
    <w:next w:val="Normal"/>
    <w:link w:val="Rubrik1Char"/>
    <w:qFormat/>
    <w:rsid w:val="00D50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50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50AF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50AF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50AF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50AF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50AF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50AF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50AF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50AF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50AF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50AF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50AF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50AF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50AF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50AF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50AF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50AF9"/>
    <w:rPr>
      <w:rFonts w:eastAsiaTheme="majorEastAsia" w:cstheme="majorBidi"/>
      <w:color w:val="272727" w:themeColor="text1" w:themeTint="D8"/>
    </w:rPr>
  </w:style>
  <w:style w:type="paragraph" w:styleId="Rubrik">
    <w:name w:val="Title"/>
    <w:basedOn w:val="Normal"/>
    <w:next w:val="Normal"/>
    <w:link w:val="RubrikChar"/>
    <w:uiPriority w:val="10"/>
    <w:qFormat/>
    <w:rsid w:val="00D50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50AF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50AF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50AF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50AF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50AF9"/>
    <w:rPr>
      <w:i/>
      <w:iCs/>
      <w:color w:val="404040" w:themeColor="text1" w:themeTint="BF"/>
    </w:rPr>
  </w:style>
  <w:style w:type="paragraph" w:styleId="Liststycke">
    <w:name w:val="List Paragraph"/>
    <w:aliases w:val="Paragraphe EI,Paragraphe de liste1,EC,Paragraphe de liste,Normal Nivel 1,List Paragraph Main,List first level,List Paragraph_Sections"/>
    <w:basedOn w:val="Normal"/>
    <w:link w:val="ListstyckeChar"/>
    <w:uiPriority w:val="34"/>
    <w:qFormat/>
    <w:rsid w:val="00D50AF9"/>
    <w:pPr>
      <w:ind w:left="720"/>
      <w:contextualSpacing/>
    </w:pPr>
  </w:style>
  <w:style w:type="character" w:styleId="Starkbetoning">
    <w:name w:val="Intense Emphasis"/>
    <w:basedOn w:val="Standardstycketeckensnitt"/>
    <w:uiPriority w:val="21"/>
    <w:qFormat/>
    <w:rsid w:val="00D50AF9"/>
    <w:rPr>
      <w:i/>
      <w:iCs/>
      <w:color w:val="0F4761" w:themeColor="accent1" w:themeShade="BF"/>
    </w:rPr>
  </w:style>
  <w:style w:type="paragraph" w:styleId="Starktcitat">
    <w:name w:val="Intense Quote"/>
    <w:basedOn w:val="Normal"/>
    <w:next w:val="Normal"/>
    <w:link w:val="StarktcitatChar"/>
    <w:uiPriority w:val="30"/>
    <w:qFormat/>
    <w:rsid w:val="00D50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50AF9"/>
    <w:rPr>
      <w:i/>
      <w:iCs/>
      <w:color w:val="0F4761" w:themeColor="accent1" w:themeShade="BF"/>
    </w:rPr>
  </w:style>
  <w:style w:type="character" w:styleId="Starkreferens">
    <w:name w:val="Intense Reference"/>
    <w:basedOn w:val="Standardstycketeckensnitt"/>
    <w:uiPriority w:val="32"/>
    <w:qFormat/>
    <w:rsid w:val="00D50AF9"/>
    <w:rPr>
      <w:b/>
      <w:bCs/>
      <w:smallCaps/>
      <w:color w:val="0F4761" w:themeColor="accent1" w:themeShade="BF"/>
      <w:spacing w:val="5"/>
    </w:rPr>
  </w:style>
  <w:style w:type="paragraph" w:styleId="Sidfot">
    <w:name w:val="footer"/>
    <w:basedOn w:val="Normal"/>
    <w:link w:val="SidfotChar"/>
    <w:uiPriority w:val="99"/>
    <w:rsid w:val="00D50AF9"/>
    <w:pPr>
      <w:tabs>
        <w:tab w:val="center" w:pos="4536"/>
        <w:tab w:val="right" w:pos="9072"/>
      </w:tabs>
    </w:pPr>
  </w:style>
  <w:style w:type="character" w:customStyle="1" w:styleId="SidfotChar">
    <w:name w:val="Sidfot Char"/>
    <w:basedOn w:val="Standardstycketeckensnitt"/>
    <w:link w:val="Sidfot"/>
    <w:uiPriority w:val="99"/>
    <w:rsid w:val="00D50AF9"/>
    <w:rPr>
      <w:rFonts w:ascii="Arial" w:eastAsiaTheme="minorEastAsia" w:hAnsi="Arial" w:cs="Arial"/>
      <w:color w:val="1A1A1A" w:themeColor="background1" w:themeShade="1A"/>
      <w:kern w:val="0"/>
      <w:sz w:val="22"/>
      <w:szCs w:val="20"/>
      <w:lang w:val="en-GB"/>
      <w14:ligatures w14:val="none"/>
    </w:rPr>
  </w:style>
  <w:style w:type="paragraph" w:customStyle="1" w:styleId="04BodyText">
    <w:name w:val="04_Body Text"/>
    <w:basedOn w:val="Normal"/>
    <w:link w:val="04BodyTextChar"/>
    <w:locked/>
    <w:rsid w:val="00D50AF9"/>
  </w:style>
  <w:style w:type="paragraph" w:customStyle="1" w:styleId="05HeadlinenoIndex">
    <w:name w:val="05_Headline no Index"/>
    <w:basedOn w:val="04BodyText"/>
    <w:locked/>
    <w:rsid w:val="00D50AF9"/>
    <w:pPr>
      <w:spacing w:line="300" w:lineRule="exact"/>
    </w:pPr>
    <w:rPr>
      <w:b/>
      <w:sz w:val="24"/>
    </w:rPr>
  </w:style>
  <w:style w:type="paragraph" w:customStyle="1" w:styleId="01bDBSubtitle">
    <w:name w:val="01b_DB_Subtitle"/>
    <w:locked/>
    <w:rsid w:val="00D50AF9"/>
    <w:pPr>
      <w:spacing w:after="0" w:line="240" w:lineRule="auto"/>
      <w:jc w:val="right"/>
    </w:pPr>
    <w:rPr>
      <w:rFonts w:ascii="Georgia" w:eastAsia="Times New Roman" w:hAnsi="Georgia" w:cs="Times New Roman"/>
      <w:color w:val="000000"/>
      <w:kern w:val="0"/>
      <w:lang w:val="en-GB" w:eastAsia="de-DE"/>
      <w14:ligatures w14:val="none"/>
    </w:rPr>
  </w:style>
  <w:style w:type="character" w:styleId="Hyperlnk">
    <w:name w:val="Hyperlink"/>
    <w:uiPriority w:val="99"/>
    <w:rsid w:val="00D50AF9"/>
    <w:rPr>
      <w:color w:val="0000FF"/>
      <w:u w:val="single"/>
    </w:rPr>
  </w:style>
  <w:style w:type="character" w:customStyle="1" w:styleId="ListstyckeChar">
    <w:name w:val="Liststycke Char"/>
    <w:aliases w:val="Paragraphe EI Char,Paragraphe de liste1 Char,EC Char,Paragraphe de liste Char,Normal Nivel 1 Char,List Paragraph Main Char,List first level Char,List Paragraph_Sections Char"/>
    <w:link w:val="Liststycke"/>
    <w:uiPriority w:val="34"/>
    <w:locked/>
    <w:rsid w:val="00D50AF9"/>
  </w:style>
  <w:style w:type="character" w:styleId="Platshllartext">
    <w:name w:val="Placeholder Text"/>
    <w:uiPriority w:val="99"/>
    <w:semiHidden/>
    <w:rsid w:val="00D50AF9"/>
    <w:rPr>
      <w:color w:val="808080"/>
    </w:rPr>
  </w:style>
  <w:style w:type="character" w:customStyle="1" w:styleId="04BodyTextChar">
    <w:name w:val="04_Body Text Char"/>
    <w:link w:val="04BodyText"/>
    <w:rsid w:val="00D50AF9"/>
    <w:rPr>
      <w:rFonts w:ascii="Arial" w:eastAsiaTheme="minorEastAsia" w:hAnsi="Arial" w:cs="Arial"/>
      <w:color w:val="1A1A1A" w:themeColor="background1" w:themeShade="1A"/>
      <w:kern w:val="0"/>
      <w:sz w:val="22"/>
      <w:szCs w:val="20"/>
      <w:lang w:val="en-GB"/>
      <w14:ligatures w14:val="none"/>
    </w:rPr>
  </w:style>
  <w:style w:type="paragraph" w:customStyle="1" w:styleId="aNew-Level33">
    <w:name w:val="aNew-Level33"/>
    <w:basedOn w:val="Normal"/>
    <w:link w:val="aNew-Level33Char"/>
    <w:qFormat/>
    <w:locked/>
    <w:rsid w:val="00D50AF9"/>
    <w:pPr>
      <w:ind w:left="426" w:hanging="426"/>
    </w:pPr>
    <w:rPr>
      <w:b/>
      <w:sz w:val="28"/>
      <w:szCs w:val="28"/>
    </w:rPr>
  </w:style>
  <w:style w:type="character" w:customStyle="1" w:styleId="aNew-Level33Char">
    <w:name w:val="aNew-Level33 Char"/>
    <w:link w:val="aNew-Level33"/>
    <w:rsid w:val="00D50AF9"/>
    <w:rPr>
      <w:rFonts w:ascii="Arial" w:eastAsiaTheme="minorEastAsia" w:hAnsi="Arial" w:cs="Arial"/>
      <w:b/>
      <w:color w:val="1A1A1A" w:themeColor="background1" w:themeShade="1A"/>
      <w:kern w:val="0"/>
      <w:sz w:val="28"/>
      <w:szCs w:val="28"/>
      <w:lang w:val="en-GB"/>
      <w14:ligatures w14:val="none"/>
    </w:rPr>
  </w:style>
  <w:style w:type="paragraph" w:customStyle="1" w:styleId="Questionstyle">
    <w:name w:val="Question style"/>
    <w:basedOn w:val="Normal"/>
    <w:next w:val="Normal"/>
    <w:link w:val="QuestionstyleChar"/>
    <w:autoRedefine/>
    <w:qFormat/>
    <w:rsid w:val="00D50AF9"/>
    <w:pPr>
      <w:numPr>
        <w:numId w:val="1"/>
      </w:numPr>
      <w:ind w:left="720"/>
      <w:contextualSpacing/>
    </w:pPr>
    <w:rPr>
      <w:b/>
      <w:szCs w:val="22"/>
    </w:rPr>
  </w:style>
  <w:style w:type="character" w:customStyle="1" w:styleId="QuestionstyleChar">
    <w:name w:val="Question style Char"/>
    <w:basedOn w:val="Standardstycketeckensnitt"/>
    <w:link w:val="Questionstyle"/>
    <w:rsid w:val="00D50AF9"/>
    <w:rPr>
      <w:rFonts w:ascii="Arial" w:eastAsiaTheme="minorEastAsia" w:hAnsi="Arial" w:cs="Arial"/>
      <w:b/>
      <w:color w:val="1A1A1A" w:themeColor="background1" w:themeShade="1A"/>
      <w:kern w:val="0"/>
      <w:sz w:val="22"/>
      <w:szCs w:val="22"/>
      <w:lang w:val="en-GB"/>
      <w14:ligatures w14:val="none"/>
    </w:rPr>
  </w:style>
  <w:style w:type="character" w:customStyle="1" w:styleId="ESMAConfidentialRestricted">
    <w:name w:val="ESMA Confidential/Restricted"/>
    <w:basedOn w:val="Stark"/>
    <w:uiPriority w:val="1"/>
    <w:qFormat/>
    <w:rsid w:val="00D50AF9"/>
    <w:rPr>
      <w:b w:val="0"/>
      <w:bCs/>
      <w:caps/>
      <w:smallCaps w:val="0"/>
      <w:color w:val="4EA72E" w:themeColor="accent6"/>
      <w:sz w:val="22"/>
    </w:rPr>
  </w:style>
  <w:style w:type="character" w:customStyle="1" w:styleId="ESMARegularuse">
    <w:name w:val="ESMA Regular use"/>
    <w:basedOn w:val="ESMAConfidentialRestricted"/>
    <w:uiPriority w:val="1"/>
    <w:qFormat/>
    <w:rsid w:val="00D50AF9"/>
    <w:rPr>
      <w:b w:val="0"/>
      <w:bCs/>
      <w:caps/>
      <w:smallCaps w:val="0"/>
      <w:color w:val="0E2841" w:themeColor="text2"/>
      <w:sz w:val="22"/>
    </w:rPr>
  </w:style>
  <w:style w:type="paragraph" w:customStyle="1" w:styleId="HeaderFoot">
    <w:name w:val="HeaderFoot"/>
    <w:basedOn w:val="Normal"/>
    <w:link w:val="HeaderFootChar"/>
    <w:qFormat/>
    <w:rsid w:val="00D50AF9"/>
    <w:pPr>
      <w:spacing w:after="0"/>
      <w:jc w:val="right"/>
    </w:pPr>
    <w:rPr>
      <w:color w:val="001B4F"/>
      <w:sz w:val="16"/>
      <w:szCs w:val="16"/>
    </w:rPr>
  </w:style>
  <w:style w:type="character" w:customStyle="1" w:styleId="HeaderFootChar">
    <w:name w:val="HeaderFoot Char"/>
    <w:basedOn w:val="Standardstycketeckensnitt"/>
    <w:link w:val="HeaderFoot"/>
    <w:rsid w:val="00D50AF9"/>
    <w:rPr>
      <w:rFonts w:ascii="Arial" w:eastAsiaTheme="minorEastAsia" w:hAnsi="Arial" w:cs="Arial"/>
      <w:color w:val="001B4F"/>
      <w:kern w:val="0"/>
      <w:sz w:val="16"/>
      <w:szCs w:val="16"/>
      <w:lang w:val="en-GB"/>
      <w14:ligatures w14:val="none"/>
    </w:rPr>
  </w:style>
  <w:style w:type="character" w:styleId="Stark">
    <w:name w:val="Strong"/>
    <w:basedOn w:val="Standardstycketeckensnitt"/>
    <w:uiPriority w:val="22"/>
    <w:qFormat/>
    <w:rsid w:val="00D50AF9"/>
    <w:rPr>
      <w:b/>
      <w:bCs/>
    </w:rPr>
  </w:style>
  <w:style w:type="paragraph" w:styleId="Normalwebb">
    <w:name w:val="Normal (Web)"/>
    <w:basedOn w:val="Normal"/>
    <w:uiPriority w:val="99"/>
    <w:semiHidden/>
    <w:unhideWhenUsed/>
    <w:rsid w:val="00105A4A"/>
    <w:rPr>
      <w:rFonts w:ascii="Times New Roman" w:hAnsi="Times New Roman" w:cs="Times New Roman"/>
      <w:sz w:val="24"/>
      <w:szCs w:val="24"/>
    </w:rPr>
  </w:style>
  <w:style w:type="paragraph" w:styleId="Sidhuvud">
    <w:name w:val="header"/>
    <w:basedOn w:val="Normal"/>
    <w:link w:val="SidhuvudChar"/>
    <w:uiPriority w:val="99"/>
    <w:semiHidden/>
    <w:unhideWhenUsed/>
    <w:rsid w:val="008E3BEC"/>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8E3BEC"/>
    <w:rPr>
      <w:rFonts w:ascii="Arial" w:eastAsiaTheme="minorEastAsia" w:hAnsi="Arial" w:cs="Arial"/>
      <w:color w:val="1A1A1A" w:themeColor="background1" w:themeShade="1A"/>
      <w:kern w:val="0"/>
      <w:sz w:val="22"/>
      <w:szCs w:val="20"/>
      <w:lang w:val="en-GB"/>
      <w14:ligatures w14:val="none"/>
    </w:rPr>
  </w:style>
  <w:style w:type="character" w:styleId="Kommentarsreferens">
    <w:name w:val="annotation reference"/>
    <w:basedOn w:val="Standardstycketeckensnitt"/>
    <w:uiPriority w:val="99"/>
    <w:semiHidden/>
    <w:unhideWhenUsed/>
    <w:rsid w:val="006D53AB"/>
    <w:rPr>
      <w:sz w:val="16"/>
      <w:szCs w:val="16"/>
    </w:rPr>
  </w:style>
  <w:style w:type="paragraph" w:styleId="Kommentarer">
    <w:name w:val="annotation text"/>
    <w:basedOn w:val="Normal"/>
    <w:link w:val="KommentarerChar"/>
    <w:uiPriority w:val="99"/>
    <w:unhideWhenUsed/>
    <w:rsid w:val="006D53AB"/>
    <w:pPr>
      <w:spacing w:line="240" w:lineRule="auto"/>
    </w:pPr>
    <w:rPr>
      <w:sz w:val="20"/>
    </w:rPr>
  </w:style>
  <w:style w:type="character" w:customStyle="1" w:styleId="KommentarerChar">
    <w:name w:val="Kommentarer Char"/>
    <w:basedOn w:val="Standardstycketeckensnitt"/>
    <w:link w:val="Kommentarer"/>
    <w:uiPriority w:val="99"/>
    <w:rsid w:val="006D53AB"/>
    <w:rPr>
      <w:rFonts w:ascii="Arial" w:eastAsiaTheme="minorEastAsia" w:hAnsi="Arial" w:cs="Arial"/>
      <w:color w:val="1A1A1A" w:themeColor="background1" w:themeShade="1A"/>
      <w:kern w:val="0"/>
      <w:sz w:val="20"/>
      <w:szCs w:val="20"/>
      <w:lang w:val="en-GB"/>
      <w14:ligatures w14:val="none"/>
    </w:rPr>
  </w:style>
  <w:style w:type="paragraph" w:styleId="Kommentarsmne">
    <w:name w:val="annotation subject"/>
    <w:basedOn w:val="Kommentarer"/>
    <w:next w:val="Kommentarer"/>
    <w:link w:val="KommentarsmneChar"/>
    <w:uiPriority w:val="99"/>
    <w:semiHidden/>
    <w:unhideWhenUsed/>
    <w:rsid w:val="006D53AB"/>
    <w:rPr>
      <w:b/>
      <w:bCs/>
    </w:rPr>
  </w:style>
  <w:style w:type="character" w:customStyle="1" w:styleId="KommentarsmneChar">
    <w:name w:val="Kommentarsämne Char"/>
    <w:basedOn w:val="KommentarerChar"/>
    <w:link w:val="Kommentarsmne"/>
    <w:uiPriority w:val="99"/>
    <w:semiHidden/>
    <w:rsid w:val="006D53AB"/>
    <w:rPr>
      <w:rFonts w:ascii="Arial" w:eastAsiaTheme="minorEastAsia" w:hAnsi="Arial" w:cs="Arial"/>
      <w:b/>
      <w:bCs/>
      <w:color w:val="1A1A1A" w:themeColor="background1" w:themeShade="1A"/>
      <w:kern w:val="0"/>
      <w:sz w:val="20"/>
      <w:szCs w:val="20"/>
      <w:lang w:val="en-GB"/>
      <w14:ligatures w14:val="none"/>
    </w:rPr>
  </w:style>
  <w:style w:type="paragraph" w:styleId="Revision">
    <w:name w:val="Revision"/>
    <w:hidden/>
    <w:uiPriority w:val="99"/>
    <w:semiHidden/>
    <w:rsid w:val="00324F99"/>
    <w:pPr>
      <w:spacing w:after="0" w:line="240" w:lineRule="auto"/>
    </w:pPr>
    <w:rPr>
      <w:rFonts w:ascii="Arial" w:eastAsiaTheme="minorEastAsia" w:hAnsi="Arial" w:cs="Arial"/>
      <w:color w:val="1A1A1A" w:themeColor="background1" w:themeShade="1A"/>
      <w:kern w:val="0"/>
      <w:sz w:val="22"/>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23739">
      <w:bodyDiv w:val="1"/>
      <w:marLeft w:val="0"/>
      <w:marRight w:val="0"/>
      <w:marTop w:val="0"/>
      <w:marBottom w:val="0"/>
      <w:divBdr>
        <w:top w:val="none" w:sz="0" w:space="0" w:color="auto"/>
        <w:left w:val="none" w:sz="0" w:space="0" w:color="auto"/>
        <w:bottom w:val="none" w:sz="0" w:space="0" w:color="auto"/>
        <w:right w:val="none" w:sz="0" w:space="0" w:color="auto"/>
      </w:divBdr>
    </w:div>
    <w:div w:id="178422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esma.europa.eu" TargetMode="External"/><Relationship Id="rId10" Type="http://schemas.openxmlformats.org/officeDocument/2006/relationships/image" Target="media/image1.jp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5e1dc48c00823854db86047ed6bc2a5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5bb2bedf15ef8a58e4af2ff0df59ac70"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549830-38A0-4555-AEB6-0E8F95736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3FA2F0-503E-4F76-8412-1BB03EF7F5C9}">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3.xml><?xml version="1.0" encoding="utf-8"?>
<ds:datastoreItem xmlns:ds="http://schemas.openxmlformats.org/officeDocument/2006/customXml" ds:itemID="{FCFD71AC-E36C-48C3-8CCF-37D935DC9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2469</Words>
  <Characters>13087</Characters>
  <Application>Microsoft Office Word</Application>
  <DocSecurity>0</DocSecurity>
  <Lines>109</Lines>
  <Paragraphs>31</Paragraphs>
  <ScaleCrop>false</ScaleCrop>
  <Company/>
  <LinksUpToDate>false</LinksUpToDate>
  <CharactersWithSpaces>15525</CharactersWithSpaces>
  <SharedDoc>false</SharedDoc>
  <HLinks>
    <vt:vector size="30"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3932286</vt:i4>
      </vt:variant>
      <vt:variant>
        <vt:i4>6</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Dubois Orvelius</dc:creator>
  <cp:keywords/>
  <dc:description/>
  <cp:lastModifiedBy>Madeleine Dubois Orvelius</cp:lastModifiedBy>
  <cp:revision>12</cp:revision>
  <cp:lastPrinted>2025-09-16T09:42:00Z</cp:lastPrinted>
  <dcterms:created xsi:type="dcterms:W3CDTF">2025-09-19T12:37:00Z</dcterms:created>
  <dcterms:modified xsi:type="dcterms:W3CDTF">2025-09-19T12:44:00Z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MediaServiceImageTags">
    <vt:lpwstr/>
  </property>
  <property fmtid="{D5CDD505-2E9C-101B-9397-08002B2CF9AE}" pid="4" name="MSIP_Label_113ab426-a817-41a9-bdde-ab4ea3f57322_Enabled">
    <vt:lpwstr>true</vt:lpwstr>
  </property>
  <property fmtid="{D5CDD505-2E9C-101B-9397-08002B2CF9AE}" pid="5" name="MSIP_Label_113ab426-a817-41a9-bdde-ab4ea3f57322_SetDate">
    <vt:lpwstr>2025-09-09T19:47:30Z</vt:lpwstr>
  </property>
  <property fmtid="{D5CDD505-2E9C-101B-9397-08002B2CF9AE}" pid="6" name="MSIP_Label_113ab426-a817-41a9-bdde-ab4ea3f57322_Method">
    <vt:lpwstr>Privileged</vt:lpwstr>
  </property>
  <property fmtid="{D5CDD505-2E9C-101B-9397-08002B2CF9AE}" pid="7" name="MSIP_Label_113ab426-a817-41a9-bdde-ab4ea3f57322_Name">
    <vt:lpwstr>Internal - No visual label</vt:lpwstr>
  </property>
  <property fmtid="{D5CDD505-2E9C-101B-9397-08002B2CF9AE}" pid="8" name="MSIP_Label_113ab426-a817-41a9-bdde-ab4ea3f57322_SiteId">
    <vt:lpwstr>4aba1e73-421d-4e8f-895a-786b597ba991</vt:lpwstr>
  </property>
  <property fmtid="{D5CDD505-2E9C-101B-9397-08002B2CF9AE}" pid="9" name="MSIP_Label_113ab426-a817-41a9-bdde-ab4ea3f57322_ActionId">
    <vt:lpwstr>4c02d2f5-a078-4690-8b0f-a4413fb52e58</vt:lpwstr>
  </property>
  <property fmtid="{D5CDD505-2E9C-101B-9397-08002B2CF9AE}" pid="10" name="MSIP_Label_113ab426-a817-41a9-bdde-ab4ea3f57322_ContentBits">
    <vt:lpwstr>0</vt:lpwstr>
  </property>
  <property fmtid="{D5CDD505-2E9C-101B-9397-08002B2CF9AE}" pid="11" name="MSIP_Label_113ab426-a817-41a9-bdde-ab4ea3f57322_Tag">
    <vt:lpwstr>10, 0, 1, 1</vt:lpwstr>
  </property>
</Properties>
</file>