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Subtitle"/>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C117"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ListParagraph"/>
        <w:numPr>
          <w:ilvl w:val="0"/>
          <w:numId w:val="35"/>
        </w:numPr>
        <w:contextualSpacing w:val="0"/>
      </w:pPr>
      <w:r w:rsidRPr="005B6B12">
        <w:t>respond to the question stated;</w:t>
      </w:r>
    </w:p>
    <w:p w14:paraId="73161343" w14:textId="77777777" w:rsidR="00E70E2E" w:rsidRPr="005B6B12" w:rsidRDefault="00E70E2E" w:rsidP="00EE57EB">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ListParagraph"/>
        <w:numPr>
          <w:ilvl w:val="0"/>
          <w:numId w:val="35"/>
        </w:numPr>
        <w:contextualSpacing w:val="0"/>
      </w:pPr>
      <w:r w:rsidRPr="005B6B12">
        <w:t>contain a clear rationale; and</w:t>
      </w:r>
    </w:p>
    <w:p w14:paraId="30D73002" w14:textId="77777777" w:rsidR="00E70E2E" w:rsidRPr="005B6B12" w:rsidRDefault="00E70E2E" w:rsidP="00EE57EB">
      <w:pPr>
        <w:pStyle w:val="ListParagraph"/>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ListParagraph"/>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ListParagraph"/>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vAlign w:val="center"/>
              </w:tcPr>
              <w:p w14:paraId="633DB1B6" w14:textId="616284E1" w:rsidR="00C2682A" w:rsidRPr="00104E00" w:rsidRDefault="00C06842" w:rsidP="00104E00">
                <w:pPr>
                  <w:jc w:val="left"/>
                  <w:rPr>
                    <w:rStyle w:val="PlaceholderText"/>
                  </w:rPr>
                </w:pPr>
                <w:r>
                  <w:rPr>
                    <w:rStyle w:val="PlaceholderText"/>
                  </w:rPr>
                  <w:t>The Alternative Investment Management Association (AIMA)</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6FAC7B9F"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002F96">
                  <w:t xml:space="preserve">Other Financial service </w:t>
                </w:r>
                <w:proofErr w:type="spellStart"/>
                <w:r w:rsidR="00002F96">
                  <w:t>providers</w:t>
                </w:r>
              </w:sdtContent>
            </w:sdt>
            <w:r w:rsidR="00C06842" w:rsidRPr="00C06842">
              <w:rPr>
                <w:highlight w:val="yellow"/>
              </w:rPr>
              <w:t>Trade</w:t>
            </w:r>
            <w:proofErr w:type="spellEnd"/>
            <w:r w:rsidR="00C06842" w:rsidRPr="00C06842">
              <w:rPr>
                <w:highlight w:val="yellow"/>
              </w:rPr>
              <w:t xml:space="preserve"> Association</w:t>
            </w:r>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vAlign w:val="center"/>
              </w:tcPr>
              <w:p w14:paraId="4BD68813" w14:textId="42856E86" w:rsidR="00C2682A" w:rsidRPr="00104E00" w:rsidRDefault="00674AB4"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vAlign w:val="center"/>
              </w:tcPr>
              <w:p w14:paraId="204E7C89" w14:textId="038E04CC" w:rsidR="00C2682A" w:rsidRPr="00104E00" w:rsidRDefault="00C06842" w:rsidP="00104E00">
                <w:pPr>
                  <w:jc w:val="left"/>
                </w:pPr>
                <w:r>
                  <w:t>Europe</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Heading1"/>
      </w:pPr>
      <w:r>
        <w:lastRenderedPageBreak/>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578031A2" w14:textId="21A84CB0" w:rsidR="00E435CC" w:rsidRDefault="00E435CC" w:rsidP="00E435CC">
      <w:permStart w:id="2146780344" w:edGrp="everyone"/>
      <w:r>
        <w:t>Yes, we agree with the general assertion as put forward in paragraph 19:</w:t>
      </w:r>
    </w:p>
    <w:p w14:paraId="6BFCE79E" w14:textId="3904B1EA" w:rsidR="00E435CC" w:rsidRPr="00D0515F" w:rsidRDefault="00E435CC" w:rsidP="00E435CC">
      <w:pPr>
        <w:ind w:left="709"/>
        <w:rPr>
          <w:i/>
          <w:iCs/>
        </w:rPr>
      </w:pPr>
      <w:r w:rsidRPr="00D0515F">
        <w:rPr>
          <w:i/>
          <w:iCs/>
        </w:rPr>
        <w:t>“Some of the above issues had already been raised by stakeholders in the asset management sector in the context of a report on the operation of the AIFMD published by the Commission on 9 January 2019. In particular, a number of complaints highlighted double reporting due to overlaps and inconsistencies between the reporting requirements under asset management frameworks on the one hand and under SFTR (Securities Financing Transactions Regulation), EMIR (European Market Infrastructure Regulation) and MiFID (Markets in Financial Instruments Directive) on the other hand. Overlaps were also mentioned across asset management reporting frameworks between AIFMD, UCITS, MMFR and ECB statistical reports.”</w:t>
      </w:r>
    </w:p>
    <w:p w14:paraId="538A0031" w14:textId="35E3CC81" w:rsidR="00136D11" w:rsidRDefault="00374843" w:rsidP="00136D11">
      <w:r>
        <w:t>We</w:t>
      </w:r>
      <w:r w:rsidR="00C26D3D">
        <w:t xml:space="preserve"> would</w:t>
      </w:r>
      <w:r>
        <w:t xml:space="preserve"> also highlight the contents of paragraph </w:t>
      </w:r>
      <w:r w:rsidR="00136D11">
        <w:t xml:space="preserve">14 </w:t>
      </w:r>
      <w:r>
        <w:t>which state that</w:t>
      </w:r>
      <w:r w:rsidR="00136D11">
        <w:t xml:space="preserve"> </w:t>
      </w:r>
      <w:r w:rsidR="00136D11" w:rsidRPr="00D0515F">
        <w:rPr>
          <w:i/>
          <w:iCs/>
        </w:rPr>
        <w:t>“</w:t>
      </w:r>
      <w:r w:rsidRPr="00D0515F">
        <w:rPr>
          <w:i/>
          <w:iCs/>
        </w:rPr>
        <w:t>[t]</w:t>
      </w:r>
      <w:r w:rsidR="00136D11" w:rsidRPr="00D0515F">
        <w:rPr>
          <w:i/>
          <w:iCs/>
        </w:rPr>
        <w:t>he first step in drafting the report on the integrated reporting involves taking stock of the existing reporting frameworks in the field of asset management. This includes an in-depth review of periodic reporting obligations applicable at both the EU level and national level.”</w:t>
      </w:r>
    </w:p>
    <w:p w14:paraId="270DEE5D" w14:textId="5092C332" w:rsidR="00E51B5B" w:rsidRDefault="00136D11" w:rsidP="00A176C1">
      <w:pPr>
        <w:rPr>
          <w:color w:val="auto"/>
        </w:rPr>
      </w:pPr>
      <w:r>
        <w:t xml:space="preserve">We </w:t>
      </w:r>
      <w:r w:rsidR="00E5552F">
        <w:t>support</w:t>
      </w:r>
      <w:r>
        <w:t xml:space="preserve"> this </w:t>
      </w:r>
      <w:r w:rsidR="00D0515F">
        <w:t>approach,</w:t>
      </w:r>
      <w:r w:rsidR="00C25002">
        <w:rPr>
          <w:color w:val="FF0000"/>
        </w:rPr>
        <w:t xml:space="preserve"> </w:t>
      </w:r>
      <w:r w:rsidR="00C25002" w:rsidRPr="00EB0323">
        <w:rPr>
          <w:color w:val="auto"/>
        </w:rPr>
        <w:t xml:space="preserve">but we caution against a maximalist approach which simply </w:t>
      </w:r>
      <w:r w:rsidR="003B0D9C" w:rsidRPr="00EB0323">
        <w:rPr>
          <w:color w:val="auto"/>
        </w:rPr>
        <w:t xml:space="preserve">extends all existing requirements </w:t>
      </w:r>
      <w:r w:rsidR="00522470" w:rsidRPr="00EB0323">
        <w:rPr>
          <w:color w:val="auto"/>
        </w:rPr>
        <w:t xml:space="preserve">to all </w:t>
      </w:r>
      <w:r w:rsidR="00C26D3D" w:rsidRPr="00EB0323">
        <w:rPr>
          <w:color w:val="auto"/>
        </w:rPr>
        <w:t>entities</w:t>
      </w:r>
      <w:r w:rsidR="00D0515F">
        <w:rPr>
          <w:color w:val="auto"/>
        </w:rPr>
        <w:t xml:space="preserve"> or </w:t>
      </w:r>
      <w:r w:rsidR="00522470" w:rsidRPr="00EB0323">
        <w:rPr>
          <w:color w:val="auto"/>
        </w:rPr>
        <w:t>filers and then layer</w:t>
      </w:r>
      <w:r w:rsidR="003B0D9C" w:rsidRPr="00EB0323">
        <w:rPr>
          <w:color w:val="auto"/>
        </w:rPr>
        <w:t xml:space="preserve">s onto </w:t>
      </w:r>
      <w:r w:rsidR="00522470" w:rsidRPr="00EB0323">
        <w:rPr>
          <w:color w:val="auto"/>
        </w:rPr>
        <w:t>those existing requirements</w:t>
      </w:r>
      <w:r w:rsidRPr="00EB0323">
        <w:rPr>
          <w:color w:val="auto"/>
        </w:rPr>
        <w:t>.</w:t>
      </w:r>
      <w:r w:rsidR="00522470" w:rsidRPr="00EB0323">
        <w:rPr>
          <w:color w:val="auto"/>
        </w:rPr>
        <w:t xml:space="preserve"> We believe that will result in increased reporting burdens</w:t>
      </w:r>
      <w:r w:rsidR="00CB75C9" w:rsidRPr="00EB0323">
        <w:rPr>
          <w:color w:val="auto"/>
        </w:rPr>
        <w:t>.</w:t>
      </w:r>
    </w:p>
    <w:p w14:paraId="3E5CAFA9" w14:textId="2957250A" w:rsidR="00E51B5B" w:rsidRDefault="00E51B5B" w:rsidP="00A176C1">
      <w:pPr>
        <w:rPr>
          <w:color w:val="auto"/>
        </w:rPr>
      </w:pPr>
      <w:r w:rsidRPr="00E51B5B">
        <w:rPr>
          <w:color w:val="auto"/>
        </w:rPr>
        <w:t xml:space="preserve">As we noted in our November 2023 response to the Secretariat-General of the European Commission’s </w:t>
      </w:r>
      <w:r w:rsidR="00D0515F">
        <w:rPr>
          <w:color w:val="auto"/>
        </w:rPr>
        <w:t>“</w:t>
      </w:r>
      <w:r w:rsidRPr="00E51B5B">
        <w:rPr>
          <w:color w:val="auto"/>
        </w:rPr>
        <w:t>Call for evidence: administrative burden – rationalisation of reporting requirements</w:t>
      </w:r>
      <w:r w:rsidR="00D0515F">
        <w:rPr>
          <w:color w:val="auto"/>
        </w:rPr>
        <w:t>,”</w:t>
      </w:r>
      <w:r w:rsidRPr="00E51B5B">
        <w:rPr>
          <w:color w:val="auto"/>
        </w:rPr>
        <w:t xml:space="preserve"> there are many areas that would benefit from the removal of, not additions to, duplicative reporting requirements</w:t>
      </w:r>
      <w:r w:rsidR="00D0515F">
        <w:rPr>
          <w:color w:val="auto"/>
        </w:rPr>
        <w:t>.</w:t>
      </w:r>
      <w:r w:rsidR="007C2316">
        <w:rPr>
          <w:rStyle w:val="FootnoteReference"/>
          <w:color w:val="auto"/>
        </w:rPr>
        <w:footnoteReference w:id="2"/>
      </w:r>
    </w:p>
    <w:p w14:paraId="58C36D46" w14:textId="0F34BC3D" w:rsidR="00A176C1" w:rsidRDefault="00136D11" w:rsidP="00A176C1">
      <w:r>
        <w:t xml:space="preserve">It is for that reason that we have put together the attached grid/Annex which shows what the impact of the current proposals </w:t>
      </w:r>
      <w:r w:rsidR="00C1073F">
        <w:t xml:space="preserve">contained </w:t>
      </w:r>
      <w:r>
        <w:t>here would be.</w:t>
      </w:r>
      <w:r w:rsidR="00C1073F">
        <w:t xml:space="preserve"> In other words, our grid/Annex </w:t>
      </w:r>
      <w:r>
        <w:t>give</w:t>
      </w:r>
      <w:r w:rsidR="00C1073F">
        <w:t>s</w:t>
      </w:r>
      <w:r>
        <w:t xml:space="preserve"> a stocktake of the potential future reporting framework if the draft content here were to be adopted.</w:t>
      </w:r>
      <w:r w:rsidR="00AA41EE">
        <w:t xml:space="preserve"> </w:t>
      </w:r>
      <w:r w:rsidR="00AA41EE">
        <w:lastRenderedPageBreak/>
        <w:t xml:space="preserve">As you can see, it would </w:t>
      </w:r>
      <w:r w:rsidR="00AA41EE" w:rsidRPr="00C1073F">
        <w:rPr>
          <w:i/>
          <w:iCs/>
        </w:rPr>
        <w:t>increase</w:t>
      </w:r>
      <w:r w:rsidR="00AA41EE">
        <w:t xml:space="preserve"> the burden on industry and include many overlaps and duplication</w:t>
      </w:r>
      <w:r w:rsidR="00C1073F">
        <w:t>. This would end up with opposite result of what this exercise is intended to achieve.</w:t>
      </w:r>
    </w:p>
    <w:permEnd w:id="2146780344"/>
    <w:p w14:paraId="64209360" w14:textId="72DAEB83"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699613A1" w14:textId="6F002998" w:rsidR="00F21CF0" w:rsidRDefault="00352C2A" w:rsidP="00352C2A">
      <w:permStart w:id="517421490" w:edGrp="everyone"/>
      <w:r>
        <w:t>AIMA</w:t>
      </w:r>
      <w:r w:rsidR="00B6284F">
        <w:t xml:space="preserve"> </w:t>
      </w:r>
      <w:r w:rsidR="008B1C21">
        <w:t>do</w:t>
      </w:r>
      <w:r>
        <w:t>es</w:t>
      </w:r>
      <w:r w:rsidR="008B1C21">
        <w:t xml:space="preserve"> not represent</w:t>
      </w:r>
      <w:r w:rsidR="00B6284F">
        <w:t xml:space="preserve"> </w:t>
      </w:r>
      <w:r w:rsidR="00F3206D" w:rsidRPr="00F3206D">
        <w:t>traditional retail investment products</w:t>
      </w:r>
      <w:r w:rsidR="00F3206D">
        <w:t xml:space="preserve"> as our core </w:t>
      </w:r>
      <w:r w:rsidR="00D0515F">
        <w:t>focus</w:t>
      </w:r>
      <w:r w:rsidR="00F3206D">
        <w:t xml:space="preserve"> is </w:t>
      </w:r>
      <w:r w:rsidR="00F3206D" w:rsidRPr="00F3206D">
        <w:t>alternative investment</w:t>
      </w:r>
      <w:r w:rsidR="00F3206D">
        <w:t>s</w:t>
      </w:r>
      <w:r w:rsidR="00B6284F">
        <w:t>.</w:t>
      </w:r>
      <w:r w:rsidR="00F75568">
        <w:t xml:space="preserve"> </w:t>
      </w:r>
      <w:r w:rsidR="00F3206D" w:rsidRPr="00F3206D">
        <w:t>As a general point, and as explained in our accompanying letter, we would emphasise that reporting requirements for AIFs and UCITS should not be applied indiscriminately on a co-extensive basis</w:t>
      </w:r>
      <w:r>
        <w:t>.</w:t>
      </w:r>
      <w:r w:rsidR="00F75568">
        <w:t xml:space="preserve"> </w:t>
      </w:r>
    </w:p>
    <w:p w14:paraId="4A2A6A92" w14:textId="52740B56" w:rsidR="00F57169" w:rsidRDefault="00B6284F" w:rsidP="00F21CF0">
      <w:r>
        <w:t xml:space="preserve">We would </w:t>
      </w:r>
      <w:r w:rsidR="009712DE">
        <w:t xml:space="preserve">also </w:t>
      </w:r>
      <w:r>
        <w:t xml:space="preserve">note the </w:t>
      </w:r>
      <w:r w:rsidR="008B1C21">
        <w:t>mixed messaging</w:t>
      </w:r>
      <w:r>
        <w:t xml:space="preserve"> from ESMA here, saying alignment of AIFMD</w:t>
      </w:r>
      <w:r w:rsidR="00F3206D">
        <w:t xml:space="preserve"> and </w:t>
      </w:r>
      <w:r>
        <w:t>UCITS is good for reporting</w:t>
      </w:r>
      <w:r w:rsidR="003C3943">
        <w:t xml:space="preserve"> purposes</w:t>
      </w:r>
      <w:r w:rsidR="00F57169">
        <w:t>.</w:t>
      </w:r>
      <w:r>
        <w:t xml:space="preserve"> </w:t>
      </w:r>
      <w:r w:rsidR="00F57169" w:rsidRPr="00F57169">
        <w:t xml:space="preserve">Paragraph 51 states that </w:t>
      </w:r>
      <w:r w:rsidR="00F57169" w:rsidRPr="00D0515F">
        <w:rPr>
          <w:i/>
          <w:iCs/>
        </w:rPr>
        <w:t xml:space="preserve">“[t]he </w:t>
      </w:r>
      <w:proofErr w:type="spellStart"/>
      <w:r w:rsidR="00F57169" w:rsidRPr="00D0515F">
        <w:rPr>
          <w:i/>
          <w:iCs/>
        </w:rPr>
        <w:t>new</w:t>
      </w:r>
      <w:proofErr w:type="spellEnd"/>
      <w:r w:rsidR="00F57169" w:rsidRPr="00D0515F">
        <w:rPr>
          <w:i/>
          <w:iCs/>
        </w:rPr>
        <w:t xml:space="preserve"> AIFMD and UCITS Directive present a key opportunity to advance the integration of supervisory reporting across the asset management sector. A central assumption is that the alignment of reporting requirements under both frameworks could serve as a foundational step toward a more consistent and harmonised reporting landscape at the Union level.”</w:t>
      </w:r>
    </w:p>
    <w:p w14:paraId="1029188C" w14:textId="4E31883F" w:rsidR="005A48A8" w:rsidRDefault="007E212C" w:rsidP="007E212C">
      <w:r>
        <w:t xml:space="preserve">Firstly, we </w:t>
      </w:r>
      <w:r w:rsidR="00E31CD9">
        <w:t xml:space="preserve">would challenge the assumption that these reporting frameworks </w:t>
      </w:r>
      <w:r w:rsidR="005A48A8">
        <w:t xml:space="preserve">should be aligned and </w:t>
      </w:r>
      <w:r w:rsidR="00D0515F">
        <w:t xml:space="preserve">that </w:t>
      </w:r>
      <w:r w:rsidR="005A48A8">
        <w:t xml:space="preserve">such alignment </w:t>
      </w:r>
      <w:r w:rsidR="00F3206D">
        <w:t>would lead to</w:t>
      </w:r>
      <w:r w:rsidR="005A48A8">
        <w:t xml:space="preserve"> an improved reporting landscape. While it may be technically correct that aligning AIFMD and UCITS reporting requirements </w:t>
      </w:r>
      <w:r w:rsidR="00F3206D">
        <w:t>c</w:t>
      </w:r>
      <w:r w:rsidR="005A48A8">
        <w:t xml:space="preserve">ould create more consistency, </w:t>
      </w:r>
      <w:r w:rsidR="001A7A9A">
        <w:t xml:space="preserve">if doing so increases the reporting burden on industry without any demonstrable benefit and importantly, without giving regulators more meaningful reporting data, then we believe that such an assumption would run counter to the </w:t>
      </w:r>
      <w:r w:rsidR="00F3206D">
        <w:t xml:space="preserve">stated </w:t>
      </w:r>
      <w:r w:rsidR="001A7A9A">
        <w:t xml:space="preserve">goal of benefitting industry </w:t>
      </w:r>
      <w:r w:rsidR="00D0515F">
        <w:t xml:space="preserve">through </w:t>
      </w:r>
      <w:r w:rsidR="001A7A9A">
        <w:t xml:space="preserve">reducing </w:t>
      </w:r>
      <w:r w:rsidR="00F3206D">
        <w:t>administrative</w:t>
      </w:r>
      <w:r w:rsidR="001A7A9A">
        <w:t xml:space="preserve"> burden.</w:t>
      </w:r>
    </w:p>
    <w:p w14:paraId="61FEE865" w14:textId="77777777" w:rsidR="00002F96" w:rsidRDefault="00A0031C" w:rsidP="00F21CF0">
      <w:r>
        <w:t xml:space="preserve">When it comes to UCITS and AIFMD, these regimes primarily deal with different types of investors and different types of assets, and that alignment may not be beneficial. </w:t>
      </w:r>
    </w:p>
    <w:p w14:paraId="2D681DE6" w14:textId="1FAA43FC" w:rsidR="007E212C" w:rsidRDefault="007E212C" w:rsidP="00F21CF0">
      <w:r>
        <w:lastRenderedPageBreak/>
        <w:t>Secondly, we take note of ESMA’s advice on the review of the</w:t>
      </w:r>
      <w:r w:rsidR="00B6284F">
        <w:t xml:space="preserve"> UCITS </w:t>
      </w:r>
      <w:r>
        <w:t>Eligible Assets Directive (</w:t>
      </w:r>
      <w:r w:rsidR="00B6284F">
        <w:t>EAD</w:t>
      </w:r>
      <w:r>
        <w:t>)</w:t>
      </w:r>
      <w:r w:rsidR="00B6284F">
        <w:t xml:space="preserve"> </w:t>
      </w:r>
      <w:r w:rsidR="008B1C21">
        <w:t>advice from June</w:t>
      </w:r>
      <w:r w:rsidR="00D0515F">
        <w:t xml:space="preserve"> 2025</w:t>
      </w:r>
      <w:r>
        <w:t>.</w:t>
      </w:r>
      <w:r w:rsidR="00E20EC3">
        <w:rPr>
          <w:rStyle w:val="FootnoteReference"/>
        </w:rPr>
        <w:footnoteReference w:id="3"/>
      </w:r>
      <w:r>
        <w:t xml:space="preserve"> In contrast to advocating alignment between </w:t>
      </w:r>
      <w:r w:rsidR="00D0515F">
        <w:t xml:space="preserve">the </w:t>
      </w:r>
      <w:r>
        <w:t>UCITS</w:t>
      </w:r>
      <w:r w:rsidR="00D0515F">
        <w:t xml:space="preserve"> Directive</w:t>
      </w:r>
      <w:r>
        <w:t xml:space="preserve"> </w:t>
      </w:r>
      <w:r w:rsidR="00D0515F">
        <w:t>and</w:t>
      </w:r>
      <w:r>
        <w:t xml:space="preserve"> AIFMD</w:t>
      </w:r>
      <w:r w:rsidR="008B1C21">
        <w:t xml:space="preserve">, ESMA </w:t>
      </w:r>
      <w:r>
        <w:t>recommended</w:t>
      </w:r>
      <w:r w:rsidR="00B6284F">
        <w:t xml:space="preserve"> that there should be a clear delineation between </w:t>
      </w:r>
      <w:r w:rsidR="00966F2B">
        <w:t xml:space="preserve">the reporting requirements with respect to the </w:t>
      </w:r>
      <w:r w:rsidR="00D0515F">
        <w:t>two different asset management frameworks</w:t>
      </w:r>
      <w:r w:rsidR="00B6284F">
        <w:t xml:space="preserve"> </w:t>
      </w:r>
      <w:r>
        <w:t>and that</w:t>
      </w:r>
      <w:r w:rsidR="00B6284F">
        <w:t xml:space="preserve"> UCITS </w:t>
      </w:r>
      <w:r>
        <w:t>funds whose approach resemble</w:t>
      </w:r>
      <w:r w:rsidR="00B6284F">
        <w:t xml:space="preserve"> an alternative investment strategy</w:t>
      </w:r>
      <w:r>
        <w:t xml:space="preserve"> should be authorised under AIFMD</w:t>
      </w:r>
      <w:r w:rsidR="00B6284F">
        <w:t>.</w:t>
      </w:r>
      <w:r w:rsidR="00130966">
        <w:t xml:space="preserve"> </w:t>
      </w:r>
      <w:r>
        <w:t>We believe such mixed</w:t>
      </w:r>
      <w:r w:rsidR="00D0515F">
        <w:t xml:space="preserve"> </w:t>
      </w:r>
      <w:r>
        <w:t>messaging creates confusion in this broader discussion.</w:t>
      </w:r>
    </w:p>
    <w:permEnd w:id="517421490"/>
    <w:p w14:paraId="3D7BF70F" w14:textId="1023F397" w:rsidR="00F21CF0" w:rsidRDefault="00F21CF0" w:rsidP="00F21CF0">
      <w:r>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t>&lt;ESMA_QUESTION_ICFD_3&gt;</w:t>
      </w:r>
    </w:p>
    <w:p w14:paraId="60D40948" w14:textId="6AA75F9B" w:rsidR="00F21CF0" w:rsidRDefault="00367718" w:rsidP="00BC7DD4">
      <w:pPr>
        <w:rPr>
          <w:lang w:val="en-US"/>
        </w:rPr>
      </w:pPr>
      <w:permStart w:id="1623937441" w:edGrp="everyone"/>
      <w:r>
        <w:rPr>
          <w:lang w:val="en-US"/>
        </w:rPr>
        <w:t xml:space="preserve">We note </w:t>
      </w:r>
      <w:r w:rsidRPr="00367718">
        <w:rPr>
          <w:lang w:val="en-US"/>
        </w:rPr>
        <w:t xml:space="preserve">that </w:t>
      </w:r>
      <w:r>
        <w:rPr>
          <w:lang w:val="en-US"/>
        </w:rPr>
        <w:t xml:space="preserve">paragraph </w:t>
      </w:r>
      <w:r w:rsidR="00BC7DD4" w:rsidRPr="00BC7DD4">
        <w:rPr>
          <w:lang w:val="en-US"/>
        </w:rPr>
        <w:t>45 s</w:t>
      </w:r>
      <w:r w:rsidR="00D0515F">
        <w:rPr>
          <w:lang w:val="en-US"/>
        </w:rPr>
        <w:t>tates:</w:t>
      </w:r>
      <w:r w:rsidR="00BC7DD4" w:rsidRPr="00BC7DD4">
        <w:rPr>
          <w:lang w:val="en-US"/>
        </w:rPr>
        <w:t xml:space="preserve"> </w:t>
      </w:r>
      <w:r w:rsidR="00DC3002" w:rsidRPr="00D0515F">
        <w:rPr>
          <w:i/>
          <w:iCs/>
          <w:lang w:val="en-US"/>
        </w:rPr>
        <w:t>“[d]</w:t>
      </w:r>
      <w:proofErr w:type="spellStart"/>
      <w:r w:rsidR="00BC7DD4" w:rsidRPr="00D0515F">
        <w:rPr>
          <w:i/>
          <w:iCs/>
          <w:lang w:val="en-US"/>
        </w:rPr>
        <w:t>ata</w:t>
      </w:r>
      <w:proofErr w:type="spellEnd"/>
      <w:r w:rsidR="00BC7DD4" w:rsidRPr="00D0515F">
        <w:rPr>
          <w:i/>
          <w:iCs/>
          <w:lang w:val="en-US"/>
        </w:rPr>
        <w:t xml:space="preserve"> gaps in reporting make supervision less effective. For instance, in the current version of the AIFMD reporting template there are no specific categories further defining alternative funds (such as MMFs and ELTIFs). As a result, depending on the cou</w:t>
      </w:r>
      <w:r w:rsidR="00D0515F">
        <w:rPr>
          <w:i/>
          <w:iCs/>
          <w:lang w:val="en-US"/>
        </w:rPr>
        <w:t>n</w:t>
      </w:r>
      <w:r w:rsidR="00BC7DD4" w:rsidRPr="00D0515F">
        <w:rPr>
          <w:i/>
          <w:iCs/>
          <w:lang w:val="en-US"/>
        </w:rPr>
        <w:t>try, a large share of the funds fall into the "other" category, potentially depriving supervisors of relevant information.</w:t>
      </w:r>
      <w:r w:rsidR="000F51A3" w:rsidRPr="00D0515F">
        <w:rPr>
          <w:i/>
          <w:iCs/>
          <w:lang w:val="en-US"/>
        </w:rPr>
        <w:t>”</w:t>
      </w:r>
    </w:p>
    <w:p w14:paraId="5F5731B1" w14:textId="77777777" w:rsidR="000F51A3" w:rsidRDefault="000F51A3" w:rsidP="00BC7DD4">
      <w:pPr>
        <w:rPr>
          <w:lang w:val="en-US"/>
        </w:rPr>
      </w:pPr>
      <w:r>
        <w:rPr>
          <w:lang w:val="en-US"/>
        </w:rPr>
        <w:t xml:space="preserve">The </w:t>
      </w:r>
      <w:r w:rsidR="0013321E">
        <w:rPr>
          <w:lang w:val="en-US"/>
        </w:rPr>
        <w:t>same point</w:t>
      </w:r>
      <w:r>
        <w:rPr>
          <w:lang w:val="en-US"/>
        </w:rPr>
        <w:t xml:space="preserve"> is</w:t>
      </w:r>
      <w:r w:rsidR="0013321E">
        <w:rPr>
          <w:lang w:val="en-US"/>
        </w:rPr>
        <w:t xml:space="preserve"> raised in section 5</w:t>
      </w:r>
      <w:r>
        <w:rPr>
          <w:lang w:val="en-US"/>
        </w:rPr>
        <w:t>, p</w:t>
      </w:r>
      <w:r w:rsidR="0013321E">
        <w:rPr>
          <w:lang w:val="en-US"/>
        </w:rPr>
        <w:t>ara</w:t>
      </w:r>
      <w:r>
        <w:rPr>
          <w:lang w:val="en-US"/>
        </w:rPr>
        <w:t>graph</w:t>
      </w:r>
      <w:r w:rsidR="00FC58C5">
        <w:rPr>
          <w:lang w:val="en-US"/>
        </w:rPr>
        <w:t xml:space="preserve"> 130 </w:t>
      </w:r>
      <w:r>
        <w:rPr>
          <w:lang w:val="en-US"/>
        </w:rPr>
        <w:t xml:space="preserve">which </w:t>
      </w:r>
      <w:r w:rsidR="00FC58C5">
        <w:rPr>
          <w:lang w:val="en-US"/>
        </w:rPr>
        <w:t>states as follows:</w:t>
      </w:r>
    </w:p>
    <w:p w14:paraId="72A521ED" w14:textId="7190E968" w:rsidR="00FC58C5" w:rsidRPr="00D0515F" w:rsidRDefault="00FC58C5" w:rsidP="000F51A3">
      <w:pPr>
        <w:ind w:left="680"/>
        <w:rPr>
          <w:i/>
          <w:iCs/>
          <w:lang w:val="en-US"/>
        </w:rPr>
      </w:pPr>
      <w:r w:rsidRPr="00D0515F">
        <w:rPr>
          <w:i/>
          <w:iCs/>
          <w:lang w:val="en-US"/>
        </w:rPr>
        <w:t>“</w:t>
      </w:r>
      <w:proofErr w:type="spellStart"/>
      <w:r w:rsidRPr="00D0515F">
        <w:rPr>
          <w:i/>
          <w:iCs/>
          <w:lang w:val="en-US"/>
        </w:rPr>
        <w:t>Standardising</w:t>
      </w:r>
      <w:proofErr w:type="spellEnd"/>
      <w:r w:rsidRPr="00D0515F">
        <w:rPr>
          <w:i/>
          <w:iCs/>
          <w:lang w:val="en-US"/>
        </w:rPr>
        <w:t xml:space="preserve"> fund classification across reporting frameworks is essential to improve consistency, comparability, and reduce reporting complexities for fund managers and regulators alike. Developing a </w:t>
      </w:r>
      <w:proofErr w:type="spellStart"/>
      <w:r w:rsidRPr="00D0515F">
        <w:rPr>
          <w:i/>
          <w:iCs/>
          <w:lang w:val="en-US"/>
        </w:rPr>
        <w:t>harmonised</w:t>
      </w:r>
      <w:proofErr w:type="spellEnd"/>
      <w:r w:rsidRPr="00D0515F">
        <w:rPr>
          <w:i/>
          <w:iCs/>
          <w:lang w:val="en-US"/>
        </w:rPr>
        <w:t xml:space="preserve"> classification taxonomy should include </w:t>
      </w:r>
      <w:proofErr w:type="spellStart"/>
      <w:r w:rsidRPr="00D0515F">
        <w:rPr>
          <w:i/>
          <w:iCs/>
          <w:lang w:val="en-US"/>
        </w:rPr>
        <w:t>standardised</w:t>
      </w:r>
      <w:proofErr w:type="spellEnd"/>
      <w:r w:rsidRPr="00D0515F">
        <w:rPr>
          <w:i/>
          <w:iCs/>
          <w:lang w:val="en-US"/>
        </w:rPr>
        <w:t xml:space="preserve"> categories for fund type, investment strategy or legal structure. As regulators collect information on the key characteristics of each fund managed or marketed in the EU, a </w:t>
      </w:r>
      <w:proofErr w:type="spellStart"/>
      <w:r w:rsidRPr="00D0515F">
        <w:rPr>
          <w:i/>
          <w:iCs/>
          <w:lang w:val="en-US"/>
        </w:rPr>
        <w:t>centralised</w:t>
      </w:r>
      <w:proofErr w:type="spellEnd"/>
      <w:r w:rsidRPr="00D0515F">
        <w:rPr>
          <w:i/>
          <w:iCs/>
          <w:lang w:val="en-US"/>
        </w:rPr>
        <w:t xml:space="preserve"> database acting as single repository for storing key fund characteristics may be envisaged.”</w:t>
      </w:r>
    </w:p>
    <w:p w14:paraId="305D705D" w14:textId="4784E7A1" w:rsidR="00FE7BF1" w:rsidRDefault="00FE7BF1" w:rsidP="00FE7BF1">
      <w:pPr>
        <w:rPr>
          <w:lang w:val="en-US"/>
        </w:rPr>
      </w:pPr>
      <w:r>
        <w:rPr>
          <w:lang w:val="en-US"/>
        </w:rPr>
        <w:t>We agree that</w:t>
      </w:r>
      <w:r w:rsidR="00FC137E">
        <w:rPr>
          <w:lang w:val="en-US"/>
        </w:rPr>
        <w:t xml:space="preserve"> introducing fund classification across reporting frameworks may help to improve comparability between different </w:t>
      </w:r>
      <w:r w:rsidR="00F65835">
        <w:rPr>
          <w:lang w:val="en-US"/>
        </w:rPr>
        <w:t xml:space="preserve">funds. AIMA would be pleased to contribute to the development </w:t>
      </w:r>
      <w:r w:rsidR="00F65835">
        <w:rPr>
          <w:lang w:val="en-US"/>
        </w:rPr>
        <w:lastRenderedPageBreak/>
        <w:t>of such a classification system in the future looking at factors such as key characteristics of funds</w:t>
      </w:r>
      <w:r w:rsidR="00CD0E51">
        <w:rPr>
          <w:lang w:val="en-US"/>
        </w:rPr>
        <w:t xml:space="preserve"> and legal structure.</w:t>
      </w:r>
    </w:p>
    <w:p w14:paraId="6DE5CD5B" w14:textId="4989C31B" w:rsidR="00BC7DD4" w:rsidRPr="00BC7DD4" w:rsidRDefault="00BC7DD4" w:rsidP="00BC7DD4">
      <w:pPr>
        <w:rPr>
          <w:lang w:val="en-US"/>
        </w:rPr>
      </w:pPr>
      <w:r>
        <w:rPr>
          <w:lang w:val="en-US"/>
        </w:rPr>
        <w:t xml:space="preserve">We agree with </w:t>
      </w:r>
      <w:r w:rsidR="00D0515F">
        <w:rPr>
          <w:lang w:val="en-US"/>
        </w:rPr>
        <w:t xml:space="preserve">the </w:t>
      </w:r>
      <w:r>
        <w:rPr>
          <w:lang w:val="en-US"/>
        </w:rPr>
        <w:t xml:space="preserve">principle </w:t>
      </w:r>
      <w:r w:rsidR="004A2C80">
        <w:rPr>
          <w:lang w:val="en-US"/>
        </w:rPr>
        <w:t xml:space="preserve">outlined </w:t>
      </w:r>
      <w:r>
        <w:rPr>
          <w:lang w:val="en-US"/>
        </w:rPr>
        <w:t>in para</w:t>
      </w:r>
      <w:r w:rsidR="004A2C80">
        <w:rPr>
          <w:lang w:val="en-US"/>
        </w:rPr>
        <w:t>graph</w:t>
      </w:r>
      <w:r>
        <w:rPr>
          <w:lang w:val="en-US"/>
        </w:rPr>
        <w:t xml:space="preserve"> 49</w:t>
      </w:r>
      <w:r w:rsidR="004A2C80">
        <w:rPr>
          <w:lang w:val="en-US"/>
        </w:rPr>
        <w:t xml:space="preserve">, i.e. </w:t>
      </w:r>
      <w:r w:rsidRPr="00BC7DD4">
        <w:rPr>
          <w:lang w:val="en-US"/>
        </w:rPr>
        <w:t xml:space="preserve">“define once, report once” </w:t>
      </w:r>
      <w:r w:rsidR="004770B5">
        <w:rPr>
          <w:lang w:val="en-US"/>
        </w:rPr>
        <w:t>which according to the consultation “</w:t>
      </w:r>
      <w:r w:rsidRPr="00BC7DD4">
        <w:rPr>
          <w:lang w:val="en-US"/>
        </w:rPr>
        <w:t>means that the report will consider the development of a common language and dictionary for ‘define once’ as well as the analysis of architectures to facilitate ‘report once’.</w:t>
      </w:r>
      <w:r w:rsidR="004770B5">
        <w:rPr>
          <w:lang w:val="en-US"/>
        </w:rPr>
        <w:t xml:space="preserve">” </w:t>
      </w:r>
      <w:r w:rsidR="0037446D">
        <w:rPr>
          <w:lang w:val="en-US"/>
        </w:rPr>
        <w:t xml:space="preserve">We would caution however </w:t>
      </w:r>
      <w:r w:rsidR="00BB2514" w:rsidRPr="00BB2514">
        <w:rPr>
          <w:lang w:val="en-US"/>
        </w:rPr>
        <w:t xml:space="preserve">that this principle </w:t>
      </w:r>
      <w:r w:rsidR="0037446D">
        <w:rPr>
          <w:lang w:val="en-US"/>
        </w:rPr>
        <w:t xml:space="preserve">should not be used </w:t>
      </w:r>
      <w:r w:rsidR="00BB2514" w:rsidRPr="00BB2514">
        <w:rPr>
          <w:lang w:val="en-US"/>
        </w:rPr>
        <w:t xml:space="preserve">to conflate transactional reporting items with periodic reporting items. It is </w:t>
      </w:r>
      <w:r w:rsidR="002210A8">
        <w:rPr>
          <w:lang w:val="en-US"/>
        </w:rPr>
        <w:t xml:space="preserve">foreseeable that </w:t>
      </w:r>
      <w:r w:rsidR="00BB2514" w:rsidRPr="00BB2514">
        <w:rPr>
          <w:lang w:val="en-US"/>
        </w:rPr>
        <w:t>periodic reporting fields will rely on more than the sum of a series of transactional rep</w:t>
      </w:r>
      <w:r w:rsidR="002210A8">
        <w:rPr>
          <w:lang w:val="en-US"/>
        </w:rPr>
        <w:t>or</w:t>
      </w:r>
      <w:r w:rsidR="00BB2514" w:rsidRPr="00BB2514">
        <w:rPr>
          <w:lang w:val="en-US"/>
        </w:rPr>
        <w:t xml:space="preserve">ting data since not all types of assets are required to be </w:t>
      </w:r>
      <w:r w:rsidR="00D0515F" w:rsidRPr="00BB2514">
        <w:rPr>
          <w:lang w:val="en-US"/>
        </w:rPr>
        <w:t>reported</w:t>
      </w:r>
      <w:r w:rsidR="00BB2514" w:rsidRPr="00BB2514">
        <w:rPr>
          <w:lang w:val="en-US"/>
        </w:rPr>
        <w:t xml:space="preserve"> on a transactional basis. Therefore</w:t>
      </w:r>
      <w:r w:rsidR="00D0515F">
        <w:rPr>
          <w:lang w:val="en-US"/>
        </w:rPr>
        <w:t>,</w:t>
      </w:r>
      <w:r w:rsidR="00BB2514" w:rsidRPr="00BB2514">
        <w:rPr>
          <w:lang w:val="en-US"/>
        </w:rPr>
        <w:t xml:space="preserve"> </w:t>
      </w:r>
      <w:r w:rsidR="00D0515F">
        <w:rPr>
          <w:lang w:val="en-US"/>
        </w:rPr>
        <w:t>t</w:t>
      </w:r>
      <w:r w:rsidR="00D0515F" w:rsidRPr="00BB2514">
        <w:rPr>
          <w:lang w:val="en-US"/>
        </w:rPr>
        <w:t>ransactional</w:t>
      </w:r>
      <w:r w:rsidR="00BB2514" w:rsidRPr="00BB2514">
        <w:rPr>
          <w:lang w:val="en-US"/>
        </w:rPr>
        <w:t xml:space="preserve"> data cannot be </w:t>
      </w:r>
      <w:r w:rsidR="00D0515F" w:rsidRPr="00BB2514">
        <w:rPr>
          <w:lang w:val="en-US"/>
        </w:rPr>
        <w:t>substituted</w:t>
      </w:r>
      <w:r w:rsidR="00BB2514" w:rsidRPr="00BB2514">
        <w:rPr>
          <w:lang w:val="en-US"/>
        </w:rPr>
        <w:t xml:space="preserve"> for periodic reporting purposes.</w:t>
      </w:r>
    </w:p>
    <w:permEnd w:id="1623937441"/>
    <w:p w14:paraId="41750AA3" w14:textId="77777777" w:rsidR="00F21CF0" w:rsidRDefault="00F21CF0" w:rsidP="00F21CF0">
      <w:r>
        <w:t>&lt;ESMA_QUESTION_ICFD_3&gt;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6A474CD7" w14:textId="77777777" w:rsidR="008D741A" w:rsidRDefault="00ED19A7" w:rsidP="00F21CF0">
      <w:permStart w:id="870786054" w:edGrp="everyone"/>
      <w:r>
        <w:t xml:space="preserve">Yes, </w:t>
      </w:r>
      <w:r w:rsidR="00E86B9B">
        <w:t>we</w:t>
      </w:r>
      <w:r>
        <w:t xml:space="preserve"> support the development of a more integrated reporting framework </w:t>
      </w:r>
      <w:r w:rsidR="00F57169">
        <w:t>b</w:t>
      </w:r>
      <w:r>
        <w:t xml:space="preserve">ut </w:t>
      </w:r>
      <w:r w:rsidR="00F57169">
        <w:t xml:space="preserve">we would stress that </w:t>
      </w:r>
      <w:r>
        <w:t xml:space="preserve">the </w:t>
      </w:r>
      <w:r w:rsidR="00F57169">
        <w:t xml:space="preserve">actual </w:t>
      </w:r>
      <w:r>
        <w:t>content</w:t>
      </w:r>
      <w:r w:rsidR="00F57169">
        <w:t xml:space="preserve"> of that framework must be suitable and appropriate. We do not support the development of an integrated reporting framework which would require fund managers to disclose an onerous and burdensome le</w:t>
      </w:r>
      <w:r w:rsidR="00465F7E">
        <w:t>v</w:t>
      </w:r>
      <w:r w:rsidR="00F57169">
        <w:t>el of information for no apparent benefi</w:t>
      </w:r>
      <w:r w:rsidR="007B7AAB">
        <w:t xml:space="preserve">t other than simply </w:t>
      </w:r>
      <w:r w:rsidR="008D741A">
        <w:t>having a single framework.</w:t>
      </w:r>
    </w:p>
    <w:p w14:paraId="27B5ECAA" w14:textId="77777777" w:rsidR="0097614E" w:rsidRDefault="0097614E" w:rsidP="0097614E">
      <w:r>
        <w:t xml:space="preserve">It is important to recall that existing reporting requirements on investment funds (“IFs”) in the EU do not apply in a uniform way to all reporting entities. </w:t>
      </w:r>
    </w:p>
    <w:p w14:paraId="09450B68" w14:textId="77777777" w:rsidR="0097614E" w:rsidRDefault="0097614E" w:rsidP="0097614E">
      <w:r>
        <w:t xml:space="preserve">The AIFMD framework currently in place (i.e. original Directive) requires reporting from AIFMs on the “main instruments and principal exposures” that the fund(s) hold(s) under Article 24. Following the recent AIFMD review, Article 24 has been widened to include “information on the instruments in which it is trading, on markets of which it is a member or where it actively trades, and on the exposures and assets of the AIF.” </w:t>
      </w:r>
    </w:p>
    <w:p w14:paraId="38D3397F" w14:textId="5E3B91C0" w:rsidR="0097614E" w:rsidRDefault="0097614E" w:rsidP="0097614E">
      <w:r>
        <w:t xml:space="preserve">In other words, whereas AIFMs currently report on "principal" markets, "main" instruments traded in and "principal" exposures, the new Article 24(1) of AIFMD (and its UCITS equivalent in Article 20a of the UCITS Directive) will require managers to report to their </w:t>
      </w:r>
      <w:r w:rsidR="00D0515F">
        <w:t>NCA</w:t>
      </w:r>
      <w:r>
        <w:t xml:space="preserve"> on all markets, instruments and exposures, including identifiers to connect this data to supervisory</w:t>
      </w:r>
      <w:r w:rsidR="00D0515F">
        <w:t xml:space="preserve"> or </w:t>
      </w:r>
      <w:r>
        <w:t xml:space="preserve">public data sources. </w:t>
      </w:r>
    </w:p>
    <w:p w14:paraId="1A519721" w14:textId="77777777" w:rsidR="0097614E" w:rsidRDefault="0097614E" w:rsidP="0097614E">
      <w:r>
        <w:lastRenderedPageBreak/>
        <w:t>One of the requirements on risk reporting is also widened for AIFMs (other than sub-threshold AIFMs). These managers will be obliged to report on the "current risk profile of the [fund] including the market risk, liquidity risk, counterparty risk, other risks including operational risk, and the total amount of leverage employed by the [fund]" under Article 24(2)(c).</w:t>
      </w:r>
    </w:p>
    <w:p w14:paraId="471F863C" w14:textId="56C3BCA9" w:rsidR="0097614E" w:rsidRDefault="0097614E" w:rsidP="0097614E">
      <w:r>
        <w:t xml:space="preserve">This widening of the granularity of reporting requirements will become applicable from April 2027. The updated framework is also subject to some pending Level 2 technical standards which will specify the details on the information </w:t>
      </w:r>
      <w:r w:rsidR="00A84EC0">
        <w:t xml:space="preserve">to be </w:t>
      </w:r>
      <w:r>
        <w:t>provided, the level of standardisation of the information and reporting frequency. These requirements under Article 24 of AIFMD apply to both EU and non-EU AIFMs.</w:t>
      </w:r>
    </w:p>
    <w:p w14:paraId="1F6D7CF2" w14:textId="1AD78D5F" w:rsidR="0097614E" w:rsidRDefault="0097614E" w:rsidP="0097614E">
      <w:r>
        <w:t>Further, the AIFMD framework provides for a lighter regime for sub-threshold funds, i.e.</w:t>
      </w:r>
      <w:r w:rsidR="00A84EC0">
        <w:t>,</w:t>
      </w:r>
      <w:r>
        <w:t xml:space="preserve"> AIFMs where the cumulative AIFs under management fall below a threshold of €100 million and for AIFMs that manage only unleveraged AIFs that do not grant investors redemption rights during a period of 5 years where the cumulative AIFs under management fall below a threshold of €500 million. Under the AIFMD regime (both original and updated following the recent review), those AIFMs will provide their </w:t>
      </w:r>
      <w:r w:rsidR="00A84EC0">
        <w:t>NCAs</w:t>
      </w:r>
      <w:r>
        <w:t xml:space="preserve"> with relevant information regarding the main instruments in which they are trading and on the principal exposures and most important concentrations of the AIFs they manage.</w:t>
      </w:r>
    </w:p>
    <w:p w14:paraId="465F1EE3" w14:textId="5A5736EC" w:rsidR="0097614E" w:rsidRDefault="0097614E" w:rsidP="0097614E">
      <w:r>
        <w:t>In July 2024, the ECB Regulation on statistics on investment funds was published in the Official Journal of the EU and will apply from December 2025.</w:t>
      </w:r>
      <w:r w:rsidR="00FB02D1">
        <w:rPr>
          <w:rStyle w:val="FootnoteReference"/>
        </w:rPr>
        <w:footnoteReference w:id="4"/>
      </w:r>
      <w:r>
        <w:t xml:space="preserve"> Unlike the existing ECB reporting requirements, the Regulation applies directly to in-scope IFs and includes AIFs and UCITS that are “resident” in the territory of the euro area Member States. In other words, this is only applicable to a sub-set of EU AIFs and UCITS. Non-EU AIFs and EU AIFs established outside the euro area Member States are out of scope. </w:t>
      </w:r>
    </w:p>
    <w:p w14:paraId="4A30D589" w14:textId="77777777" w:rsidR="0097614E" w:rsidRDefault="0097614E" w:rsidP="0097614E">
      <w:r>
        <w:t>The Regulation establishes the reporting requirements for IFs, and in certain cases other financial intermediaries (“OFIs”) and monetary financial institutions (“MFIs”), with regard to statistical information on their assets, liabilities, income received, dividends paid by the IF and fees paid by the shareholders to the IF. For the purposes of end-of-month stock data on the assets and liabilities, the IF must report security-by-security information for debt securities, equity securities and IF shares/units, including ISIN code, issuer code and issuer location.</w:t>
      </w:r>
    </w:p>
    <w:p w14:paraId="4E7CD843" w14:textId="719462CA" w:rsidR="0097614E" w:rsidRDefault="0097614E" w:rsidP="0097614E">
      <w:r>
        <w:t>For those categories of IFs subject to ECB Regulation, adding look</w:t>
      </w:r>
      <w:r w:rsidR="00A10DBC">
        <w:t xml:space="preserve"> </w:t>
      </w:r>
      <w:r>
        <w:t xml:space="preserve">through principles required for systemic risk reporting will be an extra layer of reporting requirements. Similarly, adding ECB </w:t>
      </w:r>
      <w:r>
        <w:lastRenderedPageBreak/>
        <w:t>Regulation reporting requirements to all IFs (including those outside euro</w:t>
      </w:r>
      <w:r w:rsidR="00A84EC0">
        <w:t xml:space="preserve"> area</w:t>
      </w:r>
      <w:r>
        <w:t xml:space="preserve"> Member States) increases requirements for all non-euro</w:t>
      </w:r>
      <w:r w:rsidR="00A84EC0">
        <w:t xml:space="preserve"> area</w:t>
      </w:r>
      <w:r>
        <w:t xml:space="preserve"> funds. </w:t>
      </w:r>
    </w:p>
    <w:p w14:paraId="325744CD" w14:textId="2B82C9CA" w:rsidR="00A455ED" w:rsidRDefault="0097614E" w:rsidP="0097614E">
      <w:r>
        <w:t xml:space="preserve">There does not appear to be any suggestion that layering on the position-level reporting will eliminate the </w:t>
      </w:r>
      <w:r w:rsidR="00A84EC0">
        <w:t>heavy</w:t>
      </w:r>
      <w:r>
        <w:t xml:space="preserve"> reporting burden of the rest of the existing form requirements and in fact suggests increasing the frequency of the rest of the existing AIFMD reporting requirements to monthly (or at least more frequently for those who are annual or semi-annual filers even if quarterly filers do not change to monthly).  In all events more frequent filing of existing requirements is a substantial additional reporting burden.</w:t>
      </w:r>
    </w:p>
    <w:p w14:paraId="4D580FC2" w14:textId="1F8AB6D2" w:rsidR="0097614E" w:rsidRDefault="0097614E" w:rsidP="0097614E">
      <w:r>
        <w:t xml:space="preserve">As is the case currently, </w:t>
      </w:r>
      <w:r w:rsidR="00A84EC0">
        <w:t>NCAs</w:t>
      </w:r>
      <w:r>
        <w:t xml:space="preserve"> will still be able to require additional reporting from AIFMs (after the entry into force of the AIFMD review) where necessary to monitor systemic risk effectively. Adding national requirements also adds a new reporting layer for all funds not located (or currently reporting under Article 42 in) that country. </w:t>
      </w:r>
    </w:p>
    <w:p w14:paraId="4661733F" w14:textId="3B96932F" w:rsidR="0097614E" w:rsidRDefault="0097614E" w:rsidP="0097614E">
      <w:r>
        <w:t>On this question of national requirements</w:t>
      </w:r>
      <w:r w:rsidR="00405D62">
        <w:t xml:space="preserve"> (as provided for under AIFMD)</w:t>
      </w:r>
      <w:r>
        <w:t xml:space="preserve">, it is important to note that ESMA cannot change the level 1 requirements indirectly by incorporating national requirements into the EU-wide framework.  More specifically, ESMA published </w:t>
      </w:r>
      <w:r w:rsidR="00C1741E">
        <w:t>guidance in</w:t>
      </w:r>
      <w:r>
        <w:t xml:space="preserve"> 2017</w:t>
      </w:r>
      <w:r w:rsidR="00405D62">
        <w:rPr>
          <w:rStyle w:val="FootnoteReference"/>
        </w:rPr>
        <w:footnoteReference w:id="5"/>
      </w:r>
      <w:r>
        <w:t xml:space="preserve">  acknowledging that the level 1 AIFMD did not specifically require the disclosure of information of non-EU master funds which are not separately marketed in the EU. Instead, ESMA suggested strongly that NCAs should consider using their powers under Article 25 to require that reporting under national law regardless of the requirements under AIFMD. Any move now to incorporate such a national requirement adopted under Article 25 as a new requirement for all AIFMs - regardless of whether the relevant NCA chose to adopt such a requirement itself - is indirectly changing the requirements of the level 1 text across the board. This is a power that neither the European Commission nor ESMA has on its own. Such a change could have been made as part of the recent AIFMD review and was in fact suggested by ESMA. </w:t>
      </w:r>
      <w:r w:rsidR="00A84EC0" w:rsidRPr="00A84EC0">
        <w:t xml:space="preserve">This was </w:t>
      </w:r>
      <w:r w:rsidR="00A84EC0">
        <w:t>not introduced in the</w:t>
      </w:r>
      <w:r w:rsidR="00A84EC0" w:rsidRPr="00A84EC0">
        <w:t xml:space="preserve"> revised Directive and must not be introduced through a backdoor approach.</w:t>
      </w:r>
    </w:p>
    <w:p w14:paraId="238F15B3" w14:textId="63412B93" w:rsidR="0097614E" w:rsidRDefault="0097614E" w:rsidP="0097614E">
      <w:r>
        <w:t xml:space="preserve">We have extrapolated these differing reporting requirements for IFs in the EU into a table in the </w:t>
      </w:r>
      <w:r w:rsidR="00EC00D3">
        <w:t xml:space="preserve">attached </w:t>
      </w:r>
      <w:r>
        <w:t xml:space="preserve">Annex. The consultation paper raises the prospect that adopting a single approach involving instrument-by-instrument data along the lines of the ECB standard would confer advantages on industry as fund managers are already providing such information in any event. We believe that this table shows clearly that such an assertion is </w:t>
      </w:r>
      <w:r w:rsidR="00A84EC0">
        <w:t>in</w:t>
      </w:r>
      <w:r>
        <w:t>correct.</w:t>
      </w:r>
    </w:p>
    <w:p w14:paraId="41FEDC90" w14:textId="42F75A7C" w:rsidR="00F21CF0" w:rsidRDefault="0097614E" w:rsidP="0097614E">
      <w:r>
        <w:t>Taking these different standards and levelling them all up to a higher reporting requirement across the board is fundamentally inconsistent with the principle of simplification and burden reduction.</w:t>
      </w:r>
      <w:r w:rsidR="00F57169">
        <w:t xml:space="preserve"> </w:t>
      </w:r>
      <w:r w:rsidR="003016AC">
        <w:lastRenderedPageBreak/>
        <w:t>That is the key obstacle to integrating these reporting frameworks in the manner suggested in the consultation.</w:t>
      </w:r>
    </w:p>
    <w:permEnd w:id="870786054"/>
    <w:p w14:paraId="69604612" w14:textId="77777777" w:rsidR="00F21CF0" w:rsidRDefault="00F21CF0" w:rsidP="00F21CF0">
      <w:r>
        <w:t>&lt;ESMA_QUESTION_ICFD_4&gt;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59BE8005" w14:textId="77777777" w:rsidR="00F21CF0" w:rsidRDefault="00F21CF0" w:rsidP="00F21CF0">
      <w:r>
        <w:t>&lt;ESMA_QUESTION_ICFD_5&gt;</w:t>
      </w:r>
    </w:p>
    <w:p w14:paraId="0113451B" w14:textId="45FFFBF5" w:rsidR="00560ACF" w:rsidRDefault="00560ACF" w:rsidP="00F21CF0">
      <w:permStart w:id="1594840899" w:edGrp="everyone"/>
      <w:r>
        <w:t xml:space="preserve">Of the options presented here, we agree </w:t>
      </w:r>
      <w:r w:rsidR="006205D9">
        <w:t xml:space="preserve">with the </w:t>
      </w:r>
      <w:r>
        <w:t>principle</w:t>
      </w:r>
      <w:r w:rsidR="006205D9">
        <w:t xml:space="preserve"> put forward in </w:t>
      </w:r>
      <w:r w:rsidRPr="00560ACF">
        <w:t>option IR2</w:t>
      </w:r>
      <w:r w:rsidR="00A84EC0">
        <w:t>:</w:t>
      </w:r>
      <w:r>
        <w:t xml:space="preserve"> </w:t>
      </w:r>
      <w:r w:rsidRPr="00A84EC0">
        <w:rPr>
          <w:i/>
          <w:iCs/>
        </w:rPr>
        <w:t>“a new single EU-wide reporting structure would replace all existing EU and national-level reporting obligations under the AIFMD, UCITS Directive, MMFR, and statistical frameworks. The objective would be to streamline both supervisory and statistical data collection and significantly reduce the reporting burden for fund managers and possibly for authorities as well.”</w:t>
      </w:r>
    </w:p>
    <w:p w14:paraId="4DF5E646" w14:textId="10778085" w:rsidR="004A401B" w:rsidRDefault="00F05177" w:rsidP="00F21CF0">
      <w:r w:rsidRPr="00F05177">
        <w:t>AIMA does support the development of an integrated approach with a centralised reporting system at EU level. We believe a better approach in the discussion on streamlining reporting requirements should be to focus on simplification and centrali</w:t>
      </w:r>
      <w:r w:rsidR="00D0515F">
        <w:t>s</w:t>
      </w:r>
      <w:r w:rsidRPr="00F05177">
        <w:t>ation of reporting to ESMA. NCAs should be always able to obtain information under existing laws but ESMA should be the primary reporting point from which NCAs obtain the requisite data. Under this option, all fund managers and reporting entities would submit their data directly to the centralised system, which would then grant access to the necessary information to the national and European authorities that have the relevant rights to access it. This automatically creates harmonisation in reporting as even the most detailed harmonisation efforts based on legal definitions have still produced divergence</w:t>
      </w:r>
      <w:r w:rsidR="00A84EC0">
        <w:t>s</w:t>
      </w:r>
      <w:r w:rsidRPr="00F05177">
        <w:t xml:space="preserve"> in practice or technology.</w:t>
      </w:r>
    </w:p>
    <w:p w14:paraId="12D8EBE2" w14:textId="2DE2D294" w:rsidR="003C7D90" w:rsidRDefault="003C7D90" w:rsidP="00F21CF0">
      <w:r>
        <w:t>We underline however that c</w:t>
      </w:r>
      <w:r w:rsidRPr="003C7D90">
        <w:t>entralising reporting to a single repository should not be conflated with centrali</w:t>
      </w:r>
      <w:r w:rsidR="00D0515F">
        <w:t>s</w:t>
      </w:r>
      <w:r w:rsidRPr="003C7D90">
        <w:t>ation of supervision.</w:t>
      </w:r>
      <w:r>
        <w:t xml:space="preserve"> This is a separate question which is outside the scope of th</w:t>
      </w:r>
      <w:r w:rsidR="00A84EC0">
        <w:t>is</w:t>
      </w:r>
      <w:r>
        <w:t xml:space="preserve"> consultation.</w:t>
      </w:r>
    </w:p>
    <w:p w14:paraId="6782D514" w14:textId="6FF8F560" w:rsidR="00962BEF" w:rsidRDefault="00962BEF" w:rsidP="00F21CF0">
      <w:r>
        <w:t>We do not agree with option 1</w:t>
      </w:r>
      <w:r w:rsidR="00A84EC0">
        <w:t>, i.e.,</w:t>
      </w:r>
      <w:r>
        <w:t xml:space="preserve"> that </w:t>
      </w:r>
      <w:r w:rsidRPr="00962BEF">
        <w:t xml:space="preserve">AIFMD and </w:t>
      </w:r>
      <w:r>
        <w:t xml:space="preserve">UCITS reporting </w:t>
      </w:r>
      <w:r w:rsidRPr="00962BEF">
        <w:t xml:space="preserve">forms </w:t>
      </w:r>
      <w:r>
        <w:t xml:space="preserve">should be one and the same. </w:t>
      </w:r>
      <w:r w:rsidRPr="00962BEF">
        <w:t>Th</w:t>
      </w:r>
      <w:r>
        <w:t>is</w:t>
      </w:r>
      <w:r w:rsidRPr="00962BEF">
        <w:t xml:space="preserve"> would lead to a maximalist approach and </w:t>
      </w:r>
      <w:r>
        <w:t>increas</w:t>
      </w:r>
      <w:r w:rsidR="00A84EC0">
        <w:t>e</w:t>
      </w:r>
      <w:r>
        <w:t xml:space="preserve"> both </w:t>
      </w:r>
      <w:r w:rsidR="00A84EC0">
        <w:t xml:space="preserve">the </w:t>
      </w:r>
      <w:r>
        <w:t xml:space="preserve">level of reporting and </w:t>
      </w:r>
      <w:r w:rsidR="00A84EC0">
        <w:t xml:space="preserve">the </w:t>
      </w:r>
      <w:r>
        <w:t xml:space="preserve">frequency compared to having them </w:t>
      </w:r>
      <w:r w:rsidR="00A84EC0">
        <w:t xml:space="preserve">kept </w:t>
      </w:r>
      <w:r w:rsidRPr="00962BEF">
        <w:t>separate</w:t>
      </w:r>
      <w:r>
        <w:t>. We could consider however that such reporting forms be</w:t>
      </w:r>
      <w:r w:rsidRPr="00962BEF">
        <w:t xml:space="preserve"> aligned where common data points appear in both to allow direct comparisons on those overlapping points </w:t>
      </w:r>
      <w:r>
        <w:t>while</w:t>
      </w:r>
      <w:r w:rsidRPr="00962BEF">
        <w:t xml:space="preserve"> eas</w:t>
      </w:r>
      <w:r>
        <w:t>ing</w:t>
      </w:r>
      <w:r w:rsidRPr="00962BEF">
        <w:t xml:space="preserve"> burdens</w:t>
      </w:r>
      <w:r>
        <w:t xml:space="preserve"> and reducing costs</w:t>
      </w:r>
      <w:r w:rsidR="00A84EC0">
        <w:t xml:space="preserve"> for industry</w:t>
      </w:r>
      <w:r>
        <w:t>.</w:t>
      </w:r>
    </w:p>
    <w:p w14:paraId="5D1F9547" w14:textId="2D48A01D" w:rsidR="007B230E" w:rsidRDefault="007B230E" w:rsidP="00F21CF0">
      <w:r>
        <w:lastRenderedPageBreak/>
        <w:t xml:space="preserve">We note that option 3 presented here would appear to worsen the problem </w:t>
      </w:r>
      <w:r w:rsidR="00A84EC0">
        <w:t>–</w:t>
      </w:r>
      <w:r>
        <w:t xml:space="preserve"> </w:t>
      </w:r>
      <w:r w:rsidR="0099643D">
        <w:t>f</w:t>
      </w:r>
      <w:r w:rsidRPr="007B230E">
        <w:t>ull integrated reporting framework including specific national reporting requirements</w:t>
      </w:r>
      <w:r w:rsidR="000D7E77">
        <w:t xml:space="preserve"> – for the reasons outlined above in our response to Question 4, i.e.</w:t>
      </w:r>
      <w:r w:rsidR="00A84EC0">
        <w:t>, a</w:t>
      </w:r>
      <w:r w:rsidR="000D7E77">
        <w:t xml:space="preserve"> layering of reporting requirements</w:t>
      </w:r>
      <w:r w:rsidR="00711FD5">
        <w:t>.</w:t>
      </w:r>
    </w:p>
    <w:p w14:paraId="0E4BF720" w14:textId="30FD27B4" w:rsidR="0038356A" w:rsidRDefault="0038356A" w:rsidP="00F21CF0">
      <w:r w:rsidRPr="0038356A">
        <w:t xml:space="preserve">In addition to actual reporting burden, there is the question of additional cost in complying with new requirements. If such </w:t>
      </w:r>
      <w:r w:rsidR="00A84EC0">
        <w:t xml:space="preserve">a </w:t>
      </w:r>
      <w:r w:rsidRPr="0038356A">
        <w:t xml:space="preserve">layering </w:t>
      </w:r>
      <w:r w:rsidR="00A84EC0">
        <w:t xml:space="preserve">of reporting </w:t>
      </w:r>
      <w:r w:rsidRPr="0038356A">
        <w:t>is adopted, as put forward in the consultation, then the ongoing cost of ECB reporting will be added to all non-euro</w:t>
      </w:r>
      <w:r w:rsidR="00A84EC0">
        <w:t xml:space="preserve"> area</w:t>
      </w:r>
      <w:r w:rsidRPr="0038356A">
        <w:t xml:space="preserve"> funds and any changes to the methodology for position level reporting will mean further costs in relation to funds already </w:t>
      </w:r>
      <w:r w:rsidR="00A84EC0">
        <w:t>undertaking</w:t>
      </w:r>
      <w:r w:rsidRPr="0038356A">
        <w:t xml:space="preserve"> ECB reporting (closely following the one</w:t>
      </w:r>
      <w:r w:rsidR="00A84EC0">
        <w:t>-</w:t>
      </w:r>
      <w:r w:rsidRPr="0038356A">
        <w:t>off implementation costs of the recently adopted ECB reporting changes). Similar additional costs for national requirements for funds not currently subject to those.</w:t>
      </w:r>
    </w:p>
    <w:permEnd w:id="1594840899"/>
    <w:p w14:paraId="10380430" w14:textId="5314E2E7" w:rsidR="00F21CF0" w:rsidRDefault="00F21CF0" w:rsidP="00F21CF0">
      <w:r>
        <w:t>&lt;ESMA_QUESTION_ICFD_5&gt;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33B726AB" w14:textId="77777777" w:rsidR="000240BF" w:rsidRDefault="000240BF" w:rsidP="000240BF">
      <w:permStart w:id="1818302197" w:edGrp="everyone"/>
      <w:r>
        <w:t xml:space="preserve">Yes we believe the integration and alignment of supervisory and statistical reporting should extend beyond the asset management framework. This should include </w:t>
      </w:r>
      <w:r w:rsidRPr="00DB31E5">
        <w:t>commonality of definitions where applicable, commonality of centralised reporting</w:t>
      </w:r>
      <w:r>
        <w:t xml:space="preserve"> and</w:t>
      </w:r>
      <w:r w:rsidRPr="00DB31E5">
        <w:t xml:space="preserve"> common reporting standards</w:t>
      </w:r>
      <w:r>
        <w:t>.</w:t>
      </w:r>
    </w:p>
    <w:p w14:paraId="145347AA" w14:textId="61793832" w:rsidR="000240BF" w:rsidRDefault="000240BF" w:rsidP="000240BF">
      <w:r>
        <w:t>We provide further information on reporting frameworks outside the asset management sector in our response to the related ESMA call for evidence on simplification of transaction reporting.</w:t>
      </w:r>
      <w:r>
        <w:rPr>
          <w:rStyle w:val="FootnoteReference"/>
        </w:rPr>
        <w:footnoteReference w:id="6"/>
      </w:r>
      <w:r>
        <w:t xml:space="preserve"> </w:t>
      </w:r>
      <w:r w:rsidRPr="005578AB">
        <w:t xml:space="preserve">The various and often conflicting requirements flowing from AIFMD, MiFID and the UCITS Directive create overlaps and duplication in regulatory reporting. Over the past few years we have seen a steady increase in the quantity and </w:t>
      </w:r>
      <w:r w:rsidR="00681043">
        <w:t>granularity</w:t>
      </w:r>
      <w:r w:rsidRPr="005578AB">
        <w:t xml:space="preserve"> of information that is communicated from investment fund managers to regulators.</w:t>
      </w:r>
    </w:p>
    <w:p w14:paraId="09386EF2" w14:textId="4D592661" w:rsidR="000240BF" w:rsidRPr="008803AB" w:rsidRDefault="000240BF" w:rsidP="000240BF">
      <w:pPr>
        <w:rPr>
          <w:szCs w:val="22"/>
        </w:rPr>
      </w:pPr>
      <w:bookmarkStart w:id="11" w:name="_Hlk209173059"/>
      <w:r w:rsidRPr="006D27B1">
        <w:rPr>
          <w:szCs w:val="22"/>
        </w:rPr>
        <w:lastRenderedPageBreak/>
        <w:t xml:space="preserve">One of the most fundamental challenges for our members lies in how transaction reporting is structured under </w:t>
      </w:r>
      <w:r w:rsidRPr="008803AB">
        <w:rPr>
          <w:szCs w:val="22"/>
        </w:rPr>
        <w:t>the Markets in Financial Instruments Regulation (“</w:t>
      </w:r>
      <w:proofErr w:type="spellStart"/>
      <w:r w:rsidRPr="008803AB">
        <w:rPr>
          <w:szCs w:val="22"/>
        </w:rPr>
        <w:t>MiFIR</w:t>
      </w:r>
      <w:proofErr w:type="spellEnd"/>
      <w:r w:rsidRPr="008803AB">
        <w:rPr>
          <w:szCs w:val="22"/>
        </w:rPr>
        <w:t>”)</w:t>
      </w:r>
      <w:r w:rsidRPr="006D27B1">
        <w:rPr>
          <w:szCs w:val="22"/>
        </w:rPr>
        <w:t xml:space="preserve"> for buy-side investment firms and in the functioning of the European Market Infrastructure Regulation’s (“EMIR”) reporting arrangements. In their current form, these frameworks impose significant burdens and are operationally complex, inefficient and duplicative. We believe the EU should transition to a </w:t>
      </w:r>
      <w:r w:rsidRPr="008803AB">
        <w:rPr>
          <w:szCs w:val="22"/>
        </w:rPr>
        <w:t xml:space="preserve">reporting model </w:t>
      </w:r>
      <w:r w:rsidRPr="006D27B1">
        <w:rPr>
          <w:szCs w:val="22"/>
        </w:rPr>
        <w:t>which places sole responsibility on sell</w:t>
      </w:r>
      <w:r w:rsidRPr="006D27B1">
        <w:rPr>
          <w:rFonts w:ascii="Cambria Math" w:hAnsi="Cambria Math" w:cs="Cambria Math"/>
          <w:szCs w:val="22"/>
        </w:rPr>
        <w:t>‑</w:t>
      </w:r>
      <w:r w:rsidRPr="006D27B1">
        <w:rPr>
          <w:szCs w:val="22"/>
        </w:rPr>
        <w:t>side counterparties</w:t>
      </w:r>
      <w:r w:rsidR="008F40EE">
        <w:rPr>
          <w:szCs w:val="22"/>
        </w:rPr>
        <w:t>,</w:t>
      </w:r>
      <w:r w:rsidRPr="006D27B1">
        <w:rPr>
          <w:szCs w:val="22"/>
        </w:rPr>
        <w:t xml:space="preserve"> who are inherently better equipped to manage the process</w:t>
      </w:r>
      <w:r w:rsidR="008F40EE">
        <w:rPr>
          <w:szCs w:val="22"/>
        </w:rPr>
        <w:t xml:space="preserve">, </w:t>
      </w:r>
      <w:r w:rsidRPr="006D27B1">
        <w:rPr>
          <w:szCs w:val="22"/>
        </w:rPr>
        <w:t>thus reflecting the true flow of data in the market and enhancing international competitiveness. Without such</w:t>
      </w:r>
      <w:r w:rsidR="003213F0">
        <w:rPr>
          <w:szCs w:val="22"/>
        </w:rPr>
        <w:t xml:space="preserve"> </w:t>
      </w:r>
      <w:r w:rsidRPr="008803AB">
        <w:rPr>
          <w:szCs w:val="22"/>
        </w:rPr>
        <w:t>structural changes in how reporting obligations are allocated</w:t>
      </w:r>
      <w:r w:rsidRPr="006D27B1">
        <w:rPr>
          <w:szCs w:val="22"/>
        </w:rPr>
        <w:t xml:space="preserve"> incremental improvements risk placing disproportionate burdens on firms that lack </w:t>
      </w:r>
      <w:r w:rsidRPr="008803AB">
        <w:rPr>
          <w:szCs w:val="22"/>
        </w:rPr>
        <w:t>necessary</w:t>
      </w:r>
      <w:r w:rsidR="008F40EE">
        <w:rPr>
          <w:szCs w:val="22"/>
        </w:rPr>
        <w:t xml:space="preserve"> </w:t>
      </w:r>
      <w:r w:rsidRPr="006D27B1">
        <w:rPr>
          <w:szCs w:val="22"/>
        </w:rPr>
        <w:t>resources and infrastructure</w:t>
      </w:r>
      <w:r w:rsidRPr="008803AB">
        <w:rPr>
          <w:szCs w:val="22"/>
        </w:rPr>
        <w:t>.</w:t>
      </w:r>
    </w:p>
    <w:p w14:paraId="5504FC86" w14:textId="77777777" w:rsidR="000240BF" w:rsidRPr="008803AB" w:rsidRDefault="000240BF" w:rsidP="000240BF">
      <w:pPr>
        <w:rPr>
          <w:szCs w:val="22"/>
        </w:rPr>
      </w:pPr>
      <w:r w:rsidRPr="006D27B1">
        <w:rPr>
          <w:szCs w:val="22"/>
        </w:rPr>
        <w:t xml:space="preserve">Specifically, we strongly advocate for the removal of ‘buy-side’ investment firms from the scope of transaction reporting requirements under Article 26 of </w:t>
      </w:r>
      <w:proofErr w:type="spellStart"/>
      <w:r w:rsidRPr="006D27B1">
        <w:rPr>
          <w:szCs w:val="22"/>
        </w:rPr>
        <w:t>MiFIR</w:t>
      </w:r>
      <w:proofErr w:type="spellEnd"/>
      <w:r w:rsidRPr="006D27B1">
        <w:rPr>
          <w:szCs w:val="22"/>
        </w:rPr>
        <w:t xml:space="preserve">, on the basis that sell-side firms with whom those firms execute transactions in most cases also report those transactions.  We see no inherent need for transaction reporting to be ‘dual-sided’ and believe that removing the obligation on buy-side firms to submit transaction reports would neither reduce the quality of information available to NCAs nor decrease the NCAs’ monitoring and oversight capabilities. In a similar vein, we strongly oppose any extension of the reporting requirements to </w:t>
      </w:r>
      <w:r w:rsidRPr="006D27B1">
        <w:rPr>
          <w:szCs w:val="22"/>
          <w:lang w:eastAsia="zh-CN"/>
        </w:rPr>
        <w:t xml:space="preserve">AIFMs or UCITS </w:t>
      </w:r>
      <w:r w:rsidRPr="006D27B1">
        <w:rPr>
          <w:szCs w:val="22"/>
        </w:rPr>
        <w:t>Management Companies</w:t>
      </w:r>
      <w:r w:rsidRPr="006D27B1">
        <w:rPr>
          <w:szCs w:val="22"/>
          <w:lang w:eastAsia="zh-CN"/>
        </w:rPr>
        <w:t xml:space="preserve"> (</w:t>
      </w:r>
      <w:proofErr w:type="spellStart"/>
      <w:r w:rsidRPr="006D27B1">
        <w:rPr>
          <w:szCs w:val="22"/>
          <w:lang w:eastAsia="zh-CN"/>
        </w:rPr>
        <w:t>ManCos</w:t>
      </w:r>
      <w:proofErr w:type="spellEnd"/>
      <w:r w:rsidRPr="006D27B1">
        <w:rPr>
          <w:szCs w:val="22"/>
          <w:lang w:eastAsia="zh-CN"/>
        </w:rPr>
        <w:t xml:space="preserve">) </w:t>
      </w:r>
      <w:r w:rsidRPr="006D27B1">
        <w:rPr>
          <w:szCs w:val="22"/>
        </w:rPr>
        <w:t xml:space="preserve">for their MiFID activities, the possibility of which the European Commission has been mandated to assess under Article 46 of the </w:t>
      </w:r>
      <w:proofErr w:type="spellStart"/>
      <w:r w:rsidRPr="006D27B1">
        <w:rPr>
          <w:szCs w:val="22"/>
        </w:rPr>
        <w:t>MiFIR</w:t>
      </w:r>
      <w:proofErr w:type="spellEnd"/>
      <w:r w:rsidRPr="006D27B1">
        <w:rPr>
          <w:szCs w:val="22"/>
        </w:rPr>
        <w:t xml:space="preserve"> Review.</w:t>
      </w:r>
    </w:p>
    <w:p w14:paraId="3B588CE0" w14:textId="77777777" w:rsidR="000240BF" w:rsidRPr="006D27B1" w:rsidRDefault="000240BF" w:rsidP="000240BF">
      <w:pPr>
        <w:rPr>
          <w:szCs w:val="22"/>
        </w:rPr>
      </w:pPr>
      <w:r w:rsidRPr="008803AB">
        <w:rPr>
          <w:szCs w:val="22"/>
        </w:rPr>
        <w:t xml:space="preserve">Similarly, the </w:t>
      </w:r>
      <w:r w:rsidRPr="006D27B1">
        <w:rPr>
          <w:szCs w:val="22"/>
        </w:rPr>
        <w:t xml:space="preserve">dual-sided nature of EMIR reporting </w:t>
      </w:r>
      <w:r w:rsidRPr="008803AB">
        <w:rPr>
          <w:szCs w:val="22"/>
        </w:rPr>
        <w:t xml:space="preserve">creates a number of significant operational and compliance challenges. Despite the use of delegation, buy-side firms remain legally accountable for the accuracy and completeness of reports submitted on their behalf and are expected to conduct rigorous oversight, despite often having limited visibility into the data being transmitted and tools to address errors in a timely manner. </w:t>
      </w:r>
      <w:r w:rsidRPr="006D27B1">
        <w:rPr>
          <w:szCs w:val="22"/>
        </w:rPr>
        <w:t xml:space="preserve">AIMA believes that the EU should transition to a single-sided reporting model where the sell-side counterparty is in the first instance responsible for submitting a report, something that could be achieved by establishing a defined reporting hierarchy. The challenges noted under EMIR apply to the Securities Financing Transactions Regulation (SFTR) as well, though the lower trade volumes under SFTR make these issues less acute. </w:t>
      </w:r>
    </w:p>
    <w:p w14:paraId="0C1FDA01" w14:textId="77777777" w:rsidR="00E65C2D" w:rsidRDefault="000240BF" w:rsidP="00F21CF0">
      <w:r w:rsidRPr="008803AB">
        <w:rPr>
          <w:szCs w:val="22"/>
        </w:rPr>
        <w:t xml:space="preserve">In addition, we believe centralisation could deliver meaningful improvements in the context of net short position reporting under the Short Selling Regulation (“SSR”). </w:t>
      </w:r>
      <w:r w:rsidRPr="006D27B1">
        <w:rPr>
          <w:szCs w:val="22"/>
        </w:rPr>
        <w:t>While the reporting threshold for net short positions has been harmonised across Member States at 0.1% of issued share capital, with incremental reporting required for each 0.1% thereafter, the mechanics of reporting remain fragmented. With 27 distinct national laws and reporting protocols, firms currently face a patchwork of portals, formats and submission processes. This produces unnecessary transaction costs, legal ambiguity and operational complexity. We believe that a single, EU</w:t>
      </w:r>
      <w:r w:rsidRPr="006D27B1">
        <w:rPr>
          <w:szCs w:val="22"/>
        </w:rPr>
        <w:noBreakHyphen/>
        <w:t>wide reporting portal should be established which is operated by ESMA and consolidates these requirements into a consistent interface. This would streamline reporting, improve reporting accuracy and reduce administrative burdens on firms</w:t>
      </w:r>
      <w:r>
        <w:t>.</w:t>
      </w:r>
      <w:bookmarkEnd w:id="11"/>
    </w:p>
    <w:permEnd w:id="1818302197"/>
    <w:p w14:paraId="7666AADE" w14:textId="24DB4CD9" w:rsidR="00F21CF0" w:rsidRDefault="00F21CF0" w:rsidP="00F21CF0">
      <w:r>
        <w:lastRenderedPageBreak/>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7E70159E" w14:textId="60E63051" w:rsidR="00CD2878" w:rsidRDefault="00CD2878" w:rsidP="00567290">
      <w:permStart w:id="2027955525" w:edGrp="everyone"/>
      <w:r>
        <w:t xml:space="preserve">We believe that the question of integration of regulatory reporting should </w:t>
      </w:r>
      <w:r w:rsidR="004974A2">
        <w:t>not lose sight of the two overarching goals of this project, i.e.</w:t>
      </w:r>
      <w:r w:rsidR="00D0035B">
        <w:t>,</w:t>
      </w:r>
      <w:r w:rsidR="004974A2">
        <w:t xml:space="preserve"> providing regulators with meaningful and workable data</w:t>
      </w:r>
      <w:r w:rsidR="00D64003">
        <w:t xml:space="preserve"> in order to monitor and identify risk, and also providing burden reduction to industry.</w:t>
      </w:r>
      <w:r w:rsidR="00900520">
        <w:t xml:space="preserve"> As expressed above, there would appear to be a push to simply level-up all reporting requirements to the most granular standard as an overly-simplistic way to try and achieve this.</w:t>
      </w:r>
    </w:p>
    <w:p w14:paraId="0A0849BC" w14:textId="0DBEC277" w:rsidR="00567290" w:rsidRDefault="00104DC8" w:rsidP="00567290">
      <w:r>
        <w:t>Regulatory</w:t>
      </w:r>
      <w:r w:rsidR="00567290">
        <w:t xml:space="preserve"> reporting should be grounded in a clear and pragmatic understanding of what such data can</w:t>
      </w:r>
      <w:r w:rsidR="00F42C15">
        <w:t xml:space="preserve">, </w:t>
      </w:r>
      <w:r w:rsidR="00567290">
        <w:t>and crucially, cannot</w:t>
      </w:r>
      <w:r w:rsidR="00F42C15">
        <w:t xml:space="preserve">, </w:t>
      </w:r>
      <w:r w:rsidR="00567290">
        <w:t>achieve. While the goal is often framed as enabling regulators to identify and monitor systemic risks, the reality is that pinpointing such risks in advance is an inherently uncertain, if not impossible, task</w:t>
      </w:r>
      <w:r w:rsidR="00F42C15">
        <w:t xml:space="preserve">, </w:t>
      </w:r>
      <w:r w:rsidR="00567290">
        <w:t xml:space="preserve">even with vast quantities of real time or near real time data.  Systemic risk typically emerges from complex interconnections, feedback loops and behavioural responses that are difficult to model, let alone predict. </w:t>
      </w:r>
    </w:p>
    <w:p w14:paraId="7B01727B" w14:textId="1C11191C" w:rsidR="00567290" w:rsidRDefault="00B028EA" w:rsidP="00567290">
      <w:r>
        <w:t xml:space="preserve">The reality is that in the context of this discussion, </w:t>
      </w:r>
      <w:r w:rsidR="00567290">
        <w:t>data collected is often drawn from only a narrow segment of the market</w:t>
      </w:r>
      <w:r w:rsidR="008C1A17">
        <w:t>,</w:t>
      </w:r>
      <w:r w:rsidR="003268DE">
        <w:t xml:space="preserve"> in this case investment funds</w:t>
      </w:r>
      <w:r w:rsidR="008C1A17">
        <w:t xml:space="preserve">, </w:t>
      </w:r>
      <w:r w:rsidR="00567290">
        <w:t>while excluding other critical parts of the financial ecosystem such as banks, insurers, pension funds, corporates and sovereign actors. Attempting to identify systemic risk based on a partial, non-representative snapshot can create a false sense of precision while failing to capture the dynamics that actually drive instability across the system as a whole. Without visibility into the broader set of market participants and their interactions, even the best</w:t>
      </w:r>
      <w:r w:rsidR="008C1A17">
        <w:t xml:space="preserve"> </w:t>
      </w:r>
      <w:r w:rsidR="00567290">
        <w:t xml:space="preserve">designed reporting regime will struggle to yield meaningful insights into where true systemic vulnerabilities </w:t>
      </w:r>
      <w:r w:rsidR="008C1A17">
        <w:t xml:space="preserve">might </w:t>
      </w:r>
      <w:r w:rsidR="00567290">
        <w:t>lie.</w:t>
      </w:r>
    </w:p>
    <w:p w14:paraId="7D32A4A4" w14:textId="44040E1D" w:rsidR="004842B9" w:rsidRDefault="006544E2" w:rsidP="00F21CF0">
      <w:r>
        <w:t>S</w:t>
      </w:r>
      <w:r w:rsidR="00567290">
        <w:t xml:space="preserve">ystemic risk reporting regimes must be designed </w:t>
      </w:r>
      <w:r>
        <w:t>with</w:t>
      </w:r>
      <w:r w:rsidR="00567290">
        <w:t xml:space="preserve"> realistic objectives</w:t>
      </w:r>
      <w:r w:rsidR="008C1A17">
        <w:t xml:space="preserve">, </w:t>
      </w:r>
      <w:r w:rsidR="00567290">
        <w:t>focused on improving high-level situational awareness</w:t>
      </w:r>
      <w:r w:rsidR="008C1A17">
        <w:t xml:space="preserve">, </w:t>
      </w:r>
      <w:r w:rsidR="00567290">
        <w:t xml:space="preserve">rather than becoming expansive data collection exercises in search of hypothetical risks. </w:t>
      </w:r>
      <w:r w:rsidR="007F0E54">
        <w:t xml:space="preserve">What is being put forward here in the consultation would entail a </w:t>
      </w:r>
      <w:r w:rsidR="00567290">
        <w:t>disproportionate burden on reporting firms</w:t>
      </w:r>
      <w:r w:rsidR="002E08DE">
        <w:t xml:space="preserve"> </w:t>
      </w:r>
      <w:r w:rsidR="00567290">
        <w:t xml:space="preserve">and </w:t>
      </w:r>
      <w:r w:rsidR="007F0E54">
        <w:t xml:space="preserve">would not provide </w:t>
      </w:r>
      <w:r w:rsidR="007F2104">
        <w:t xml:space="preserve">regulators with the full picture necessary for identifying systemic risk. </w:t>
      </w:r>
    </w:p>
    <w:p w14:paraId="604A0862" w14:textId="5D1813D5" w:rsidR="00537D31" w:rsidRDefault="00537D31" w:rsidP="00F21CF0">
      <w:r>
        <w:t>We would therefore urge ESMA and the European Commission to focus on how</w:t>
      </w:r>
      <w:r w:rsidR="005D5DD9">
        <w:t xml:space="preserve"> the integration of the funds reporting framework can fit into this overall picture (while simultaneously providing </w:t>
      </w:r>
      <w:r w:rsidR="002E08DE">
        <w:t xml:space="preserve">simplification and </w:t>
      </w:r>
      <w:r w:rsidR="005D5DD9">
        <w:t>burden reduction for industry)</w:t>
      </w:r>
      <w:r w:rsidR="009C6DD5">
        <w:t xml:space="preserve"> in terms of how the totality of actors in the financial ecosystem interact. </w:t>
      </w:r>
      <w:r w:rsidR="00261640">
        <w:t xml:space="preserve">We appreciate this means further exploration of </w:t>
      </w:r>
      <w:r w:rsidR="009A3F14">
        <w:t xml:space="preserve">the </w:t>
      </w:r>
      <w:r w:rsidR="00261640">
        <w:t>data reporting</w:t>
      </w:r>
      <w:r w:rsidR="009A3F14">
        <w:t xml:space="preserve"> frameworks</w:t>
      </w:r>
      <w:r w:rsidR="00261640">
        <w:t xml:space="preserve"> beyond the funds sector,</w:t>
      </w:r>
      <w:r w:rsidR="009A3F14">
        <w:t xml:space="preserve"> and we would be pleased to contribute to such a discussion.</w:t>
      </w:r>
    </w:p>
    <w:p w14:paraId="01C7C527" w14:textId="3EFFD2C2" w:rsidR="004842B9" w:rsidRDefault="002B0A2B" w:rsidP="00F21CF0">
      <w:r>
        <w:lastRenderedPageBreak/>
        <w:t>In brief,</w:t>
      </w:r>
      <w:r w:rsidR="004842B9" w:rsidRPr="004842B9">
        <w:t xml:space="preserve"> </w:t>
      </w:r>
      <w:bookmarkStart w:id="12" w:name="_Hlk207547944"/>
      <w:r w:rsidR="004842B9" w:rsidRPr="004842B9">
        <w:t xml:space="preserve">the design of such </w:t>
      </w:r>
      <w:r w:rsidR="00204D41">
        <w:t xml:space="preserve">a </w:t>
      </w:r>
      <w:r w:rsidR="004842B9" w:rsidRPr="004842B9">
        <w:t xml:space="preserve">reporting </w:t>
      </w:r>
      <w:r w:rsidR="00204D41">
        <w:t xml:space="preserve">framework </w:t>
      </w:r>
      <w:r w:rsidR="004842B9" w:rsidRPr="004842B9">
        <w:t>should reflect how risk is actually understood and managed by investors. Systemic risk arises not from isolated exposures, but from the ways in which risks are aggregated across portfolios and firms. To be useful, the data collected must therefore be composable and aggregable</w:t>
      </w:r>
      <w:r w:rsidR="00204D41">
        <w:t xml:space="preserve">, </w:t>
      </w:r>
      <w:r w:rsidR="004842B9" w:rsidRPr="004842B9">
        <w:t xml:space="preserve">that is, capable of being meaningfully combined and adjusted to reflect portfolio-level exposures, concentrations and risk characteristics. </w:t>
      </w:r>
      <w:bookmarkEnd w:id="12"/>
      <w:r w:rsidR="004842B9" w:rsidRPr="004842B9">
        <w:t>This requires reporting frameworks to be designed with flexibility and clarity, enabling regulators to perform basic risk transformations such as adjusting for leverage, liquidity, credit quality or sectoral overlap. Without this, data may be voluminous but ultimately opaque</w:t>
      </w:r>
      <w:r w:rsidR="00204D41">
        <w:t xml:space="preserve"> and </w:t>
      </w:r>
      <w:r w:rsidR="004842B9" w:rsidRPr="004842B9">
        <w:t xml:space="preserve">unable to support effective </w:t>
      </w:r>
      <w:r w:rsidR="00204D41">
        <w:t xml:space="preserve">supervisory </w:t>
      </w:r>
      <w:r w:rsidR="004842B9" w:rsidRPr="004842B9">
        <w:t>analysis or oversight.</w:t>
      </w:r>
      <w:r w:rsidR="003B02C1">
        <w:t xml:space="preserve"> </w:t>
      </w:r>
    </w:p>
    <w:p w14:paraId="0814C77B" w14:textId="71568574" w:rsidR="003B02C1" w:rsidRDefault="003B02C1" w:rsidP="00F21CF0">
      <w:r>
        <w:t>Constructing such a framework is beyond the scope of this consultation, but we would encourage ESMA to see</w:t>
      </w:r>
      <w:r w:rsidR="00335CD9">
        <w:t xml:space="preserve"> this consultation project as a first step in that direction.</w:t>
      </w:r>
    </w:p>
    <w:permEnd w:id="2027955525"/>
    <w:p w14:paraId="0E762164" w14:textId="6E70ECA0" w:rsidR="00F21CF0" w:rsidRDefault="00F21CF0" w:rsidP="00F21CF0">
      <w:r>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391382B1" w14:textId="5E8FEE30" w:rsidR="00BE2245" w:rsidRDefault="00BE2245" w:rsidP="00F21CF0">
      <w:permStart w:id="798060755" w:edGrp="everyone"/>
      <w:r>
        <w:t>As a general point, t</w:t>
      </w:r>
      <w:r w:rsidRPr="00BE2245">
        <w:t xml:space="preserve">he data submitted through the Annex IV report is highly (market) sensitive and confidential. </w:t>
      </w:r>
      <w:r w:rsidR="00104DC8">
        <w:t>S</w:t>
      </w:r>
      <w:r w:rsidRPr="00BE2245">
        <w:t xml:space="preserve">hould the information fall into the hands of </w:t>
      </w:r>
      <w:r w:rsidR="00121033">
        <w:t xml:space="preserve">bad actors, e.g., </w:t>
      </w:r>
      <w:r w:rsidRPr="00BE2245">
        <w:t xml:space="preserve">cyber criminals, it could lead to irreversible financial and reputational damage to the AIFM, the AIF and its investors. </w:t>
      </w:r>
    </w:p>
    <w:p w14:paraId="0236936E" w14:textId="2F986554" w:rsidR="00BE2245" w:rsidRDefault="00BE2245" w:rsidP="00F21CF0">
      <w:r w:rsidRPr="00BE2245">
        <w:t xml:space="preserve">Therefore, the </w:t>
      </w:r>
      <w:r w:rsidR="00104DC8">
        <w:t>reporting standard</w:t>
      </w:r>
      <w:r w:rsidRPr="00BE2245">
        <w:t xml:space="preserve"> should issue and require AIFMs to use confidential alphanumeric identifiers for the AIFM and its AIFs on Annex IV. Fields seeking AIFM and AIF identifying information should be removed. </w:t>
      </w:r>
    </w:p>
    <w:p w14:paraId="0095FB66" w14:textId="7A11DF79" w:rsidR="00BE2245" w:rsidRDefault="00BE2245" w:rsidP="00F21CF0">
      <w:r w:rsidRPr="00BE2245">
        <w:t xml:space="preserve">The separation of data and identity would make it more difficult for </w:t>
      </w:r>
      <w:r w:rsidR="005E5CBA">
        <w:t>bad actors</w:t>
      </w:r>
      <w:r w:rsidRPr="00BE2245">
        <w:t xml:space="preserve"> to use this information for malicious purposes. Such safeguards would help ensure the </w:t>
      </w:r>
      <w:r w:rsidR="005E5CBA">
        <w:t xml:space="preserve">European </w:t>
      </w:r>
      <w:r w:rsidRPr="00BE2245">
        <w:t xml:space="preserve">Commission and NCAs are best able to protect the information gathered from cybersecurity threats. </w:t>
      </w:r>
    </w:p>
    <w:p w14:paraId="0E0A2384" w14:textId="32ACF828" w:rsidR="00BE2245" w:rsidRDefault="00BE2245" w:rsidP="00F21CF0">
      <w:r w:rsidRPr="00BE2245">
        <w:t xml:space="preserve">To mitigate cyber breaches, AIMA recommends that the </w:t>
      </w:r>
      <w:r w:rsidR="00104DC8">
        <w:t>reporting framework</w:t>
      </w:r>
      <w:r w:rsidRPr="00BE2245">
        <w:t xml:space="preserve"> incorporate protections within the design of the form and reporting systems. This could be achieved by replacing any identifying information with a centralised alphanumeric code of a single EU-wide style that can be issued by ESMA to individual AIFMs. The identity of the filer will only be known to the issuer, ESMA and the respective NCA. </w:t>
      </w:r>
    </w:p>
    <w:p w14:paraId="699ED91C" w14:textId="77777777" w:rsidR="00BE2245" w:rsidRDefault="00BE2245" w:rsidP="00F21CF0">
      <w:r w:rsidRPr="00BE2245">
        <w:t xml:space="preserve">Should this recommendation be implemented, it would replace fields 16-19 and 22-25 of the AIFM reporting file and fields 16-18, 24-32 and 33-40 of the AIF reporting file. </w:t>
      </w:r>
    </w:p>
    <w:p w14:paraId="4BF6376C" w14:textId="3601441D" w:rsidR="00F21CF0" w:rsidRDefault="00BE2245" w:rsidP="00F21CF0">
      <w:r w:rsidRPr="00BE2245">
        <w:lastRenderedPageBreak/>
        <w:t>In the alternative, the AIFM/AIF national codes could be retained, the rest of the identifying fields above being removed. This would have a similar result but would leave the distribution of the codes de-centralised.</w:t>
      </w:r>
    </w:p>
    <w:permEnd w:id="798060755"/>
    <w:p w14:paraId="3FB8FC95" w14:textId="77777777" w:rsidR="00F21CF0" w:rsidRDefault="00F21CF0" w:rsidP="00F21CF0">
      <w:r>
        <w:t>&lt;ESMA_QUESTION_ICFD_8&gt;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5410264F" w14:textId="2CAEE29B" w:rsidR="00F21CF0" w:rsidRDefault="00E67931" w:rsidP="00F21CF0">
      <w:permStart w:id="825391439" w:edGrp="everyone"/>
      <w:r>
        <w:t>We agree in principle with Option 3</w:t>
      </w:r>
      <w:r w:rsidR="00424420">
        <w:t>, i.e.</w:t>
      </w:r>
      <w:r w:rsidR="00D644C7">
        <w:t>,</w:t>
      </w:r>
      <w:r w:rsidR="00424420">
        <w:t xml:space="preserve"> a centralised reporting system at the EU level. </w:t>
      </w:r>
      <w:r w:rsidR="00D03869">
        <w:t>We emphasise that we support this option based on the considerations outlined above, i.e.</w:t>
      </w:r>
      <w:r w:rsidR="00D644C7">
        <w:t>,</w:t>
      </w:r>
      <w:r w:rsidR="00D03869">
        <w:t xml:space="preserve"> that </w:t>
      </w:r>
      <w:r w:rsidR="002B0AB4">
        <w:t xml:space="preserve">it is not used as a step towards central supervision and also that such an architecture would be developed on the basis of the </w:t>
      </w:r>
      <w:r w:rsidR="00D760C8">
        <w:t>principle of “define once, report once</w:t>
      </w:r>
      <w:r w:rsidR="00D644C7">
        <w:t>.</w:t>
      </w:r>
      <w:r w:rsidR="00D760C8">
        <w:t>”</w:t>
      </w:r>
      <w:r w:rsidR="00F82679">
        <w:t xml:space="preserve"> We would also underline that such an architecture must include the ability for N</w:t>
      </w:r>
      <w:r w:rsidR="00F82679" w:rsidRPr="00F82679">
        <w:t xml:space="preserve">CAs to be able </w:t>
      </w:r>
      <w:r w:rsidR="00D644C7">
        <w:t xml:space="preserve">to </w:t>
      </w:r>
      <w:r w:rsidR="00F82679" w:rsidRPr="00F82679">
        <w:t xml:space="preserve">add their additional Article 25 and </w:t>
      </w:r>
      <w:r w:rsidR="00C70F17">
        <w:t>national private placement regimes (</w:t>
      </w:r>
      <w:r w:rsidR="00F82679" w:rsidRPr="00F82679">
        <w:t>NPPR</w:t>
      </w:r>
      <w:r w:rsidR="00C70F17">
        <w:t>)</w:t>
      </w:r>
      <w:r w:rsidR="00F82679" w:rsidRPr="00F82679">
        <w:t xml:space="preserve"> requirements based on the same reporting </w:t>
      </w:r>
      <w:r w:rsidR="00C70F17">
        <w:t>methodology and technology to ensure seamless transfer of data.</w:t>
      </w:r>
    </w:p>
    <w:p w14:paraId="6701FB25" w14:textId="74D6C636" w:rsidR="005578AB" w:rsidRPr="005578AB" w:rsidRDefault="005578AB" w:rsidP="005578AB">
      <w:r w:rsidRPr="005578AB">
        <w:t>The most basic starting point in this discussion should be an increasing focus on simplification and centrali</w:t>
      </w:r>
      <w:r w:rsidR="00D0515F">
        <w:t>s</w:t>
      </w:r>
      <w:r w:rsidRPr="005578AB">
        <w:t>ation of reporting to ESMA. Of course, NCAs should be always able to obtain information under existing laws but ESMA should be the primary reporting point from which NCAs obtain the requisite data. This automatically creates harmonisation in reporting as even the most detailed harmonisation efforts based on legal definitions have still produced divergence</w:t>
      </w:r>
      <w:r w:rsidR="00CD555F">
        <w:t>s</w:t>
      </w:r>
      <w:r w:rsidRPr="005578AB">
        <w:t xml:space="preserve"> in practice or technology.</w:t>
      </w:r>
    </w:p>
    <w:p w14:paraId="520CA91C" w14:textId="37751A3A" w:rsidR="005578AB" w:rsidRPr="005578AB" w:rsidRDefault="005578AB" w:rsidP="005578AB">
      <w:r w:rsidRPr="005578AB">
        <w:t>What we would like to see as an industry is a holistic approach whereby information that is reported is streamlined and collated between different arms of the regulator and between regulators themselves. This would allow for efficiency in both providing and using the information. Going forward, we believe that authorities could make better use of the data that is already reported, including disclosing to industry at what levels such data is being analysed and to what purposes they are using it.</w:t>
      </w:r>
    </w:p>
    <w:p w14:paraId="5C06245B" w14:textId="4AC07BE0" w:rsidR="00E67931" w:rsidRDefault="005578AB" w:rsidP="005578AB">
      <w:r w:rsidRPr="005578AB">
        <w:t xml:space="preserve">The alternative investment industry is global in nature. Having an approach whereby fund </w:t>
      </w:r>
      <w:proofErr w:type="spellStart"/>
      <w:r w:rsidRPr="005578AB">
        <w:t>managers</w:t>
      </w:r>
      <w:proofErr w:type="spellEnd"/>
      <w:r w:rsidRPr="005578AB">
        <w:t xml:space="preserve"> report the same information but in different formats in different jurisdictions is an unnecessary burden that can and should be avoided. This is also in line with our call for the EU to show global leadership by pursuing an open, strategic approach to business.</w:t>
      </w:r>
    </w:p>
    <w:p w14:paraId="1041D354" w14:textId="25B7C368" w:rsidR="007B5108" w:rsidRDefault="007B5108" w:rsidP="007B5108">
      <w:r>
        <w:lastRenderedPageBreak/>
        <w:t>The international dimension of systemic risk reporting should be considered as part of the EU’s simplification and burden</w:t>
      </w:r>
      <w:r w:rsidR="002C1772">
        <w:t xml:space="preserve"> </w:t>
      </w:r>
      <w:r>
        <w:t>reduction agenda. The systemic risk reporting template in the U</w:t>
      </w:r>
      <w:r w:rsidR="002C1772">
        <w:t>.</w:t>
      </w:r>
      <w:r>
        <w:t>S</w:t>
      </w:r>
      <w:r w:rsidR="002C1772">
        <w:t>.</w:t>
      </w:r>
      <w:r>
        <w:t xml:space="preserve"> – the Form PF - is currently being reviewed with a view to requesting less information from industry.  Similarly, in the UK, the FCA is continuing its work to revise Annex IV. </w:t>
      </w:r>
    </w:p>
    <w:p w14:paraId="4854E813" w14:textId="77777777" w:rsidR="007B5108" w:rsidRDefault="007B5108" w:rsidP="007B5108">
      <w:r>
        <w:t>In its recent report on leverage in non-bank financial intermediation, the Financial Stability Board (“FSB”) suggested that, when national authorities are reviewing their individual systemic risk monitoring regimes:</w:t>
      </w:r>
    </w:p>
    <w:p w14:paraId="7C580CD5" w14:textId="77777777" w:rsidR="007B5108" w:rsidRPr="00C271BC" w:rsidRDefault="007B5108" w:rsidP="0062341B">
      <w:pPr>
        <w:ind w:left="680"/>
        <w:rPr>
          <w:i/>
          <w:iCs/>
        </w:rPr>
      </w:pPr>
      <w:r w:rsidRPr="00C271BC">
        <w:rPr>
          <w:i/>
          <w:iCs/>
        </w:rPr>
        <w:t xml:space="preserve">“authorities should take steps, where appropriate and feasible, to improve international consistency in the definition and calculation of the toolkit metrics, particularly those that best capture financial stability risks created by NBFI leverage in their jurisdiction, as well as risks that may spill over from and to other jurisdictions. Authorities should also consider experiences and good practices in other jurisdictions, e.g. on the use of data and metrics, including considering [International Organization of Securities Commission’s (“IOSCO”)] Recommendations for a framework assessing leverage in investment funds.” </w:t>
      </w:r>
    </w:p>
    <w:p w14:paraId="5CACD339" w14:textId="77777777" w:rsidR="00C271BC" w:rsidRDefault="007B5108" w:rsidP="007B5108">
      <w:r>
        <w:t xml:space="preserve">We strongly believe that the greatest value from this exercise will be achieved if regulators across the major asset management and fund jurisdictions agree on a common simplified approach that allows direct and immediate comparisons and aggregation. The FSB Report echoes this sentiment: </w:t>
      </w:r>
    </w:p>
    <w:p w14:paraId="58F14D80" w14:textId="13D7E65A" w:rsidR="007B5108" w:rsidRPr="00C271BC" w:rsidRDefault="007B5108" w:rsidP="00C271BC">
      <w:pPr>
        <w:ind w:left="709"/>
        <w:rPr>
          <w:i/>
          <w:iCs/>
        </w:rPr>
      </w:pPr>
      <w:r w:rsidRPr="00C271BC">
        <w:rPr>
          <w:i/>
          <w:iCs/>
        </w:rPr>
        <w:t xml:space="preserve">“[t]o facilitate effective monitoring across jurisdictions and minimise unnecessary reporting burdens for market participants, authorities should take steps to improve international consistency in definitions and methodologies for the calculation of toolkit metrics….” </w:t>
      </w:r>
    </w:p>
    <w:p w14:paraId="3C3706BC" w14:textId="516C21FA" w:rsidR="007B5108" w:rsidRDefault="007B5108" w:rsidP="007B5108">
      <w:r>
        <w:t>AIMA is of the view that the best approach to achieving a simplified, yet robust, framework is to develop a template which eliminates fields with limited systemic risk value, while emphasi</w:t>
      </w:r>
      <w:r w:rsidR="00D0515F">
        <w:t>s</w:t>
      </w:r>
      <w:r>
        <w:t>ing meaningful data points regarding exposures, liquidity positioning and risk metrics. AIMA has worked with its members to develop a systemic risk reporting concept paper discussing our vision of what the key information required for systemic risk monitoring is.</w:t>
      </w:r>
    </w:p>
    <w:p w14:paraId="260A2EF8" w14:textId="236CF3E3" w:rsidR="007B5108" w:rsidRDefault="007B5108" w:rsidP="007B5108">
      <w:r>
        <w:t xml:space="preserve">Such a template should focus on the drivers of systemic risk: asset class exposures, leverage (gross and adjusted), counterparty interconnectedness, liquidity mismatches and potential funding strains (as captured through margin metrics). To the extent possible, it should reflect current industry practice of risk-reporting to investors. This approach avoids overly granular data burdens while providing regulators with a clear risk snapshot across strategies and asset types. Pursuing such an approach would both address regulators’ concerns around monitoring risk as well as delivering simplification for industry, precisely the </w:t>
      </w:r>
      <w:r w:rsidR="00BC0E61">
        <w:t xml:space="preserve">stated </w:t>
      </w:r>
      <w:r>
        <w:t xml:space="preserve">goals of the current consultation. </w:t>
      </w:r>
    </w:p>
    <w:p w14:paraId="5F192281" w14:textId="6FB89D4F" w:rsidR="007B5108" w:rsidRPr="00E67931" w:rsidRDefault="007B5108" w:rsidP="007B5108">
      <w:r>
        <w:lastRenderedPageBreak/>
        <w:t xml:space="preserve">We are keen to discuss this with staff at ESMA and the European Commission.  There is a unique and limited time opportunity for the key asset management jurisdictions to take up the challenge set down by the FSB discussed above.  </w:t>
      </w:r>
    </w:p>
    <w:permEnd w:id="825391439"/>
    <w:p w14:paraId="0A9A8BF4" w14:textId="77777777" w:rsidR="00F21CF0" w:rsidRDefault="00F21CF0" w:rsidP="00F21CF0">
      <w:r>
        <w:t>&lt;ESMA_QUESTION_ICFD_9&gt;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1A15BA7D" w14:textId="77E90DD9" w:rsidR="00F21CF0" w:rsidRDefault="00D24E1D" w:rsidP="00F21CF0">
      <w:permStart w:id="1057125905" w:edGrp="everyone"/>
      <w:r>
        <w:t xml:space="preserve">We do not believe it is necessary or desirable to retain the </w:t>
      </w:r>
      <w:r w:rsidR="00BC0E61">
        <w:t>supervising</w:t>
      </w:r>
      <w:r>
        <w:t xml:space="preserve"> NCA as an intermediary between the AIFM and ESMA for the purposes of centralised reporting.</w:t>
      </w: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03344A11" w14:textId="4E981C48" w:rsidR="00F21CF0" w:rsidRDefault="00640F41" w:rsidP="00F21CF0">
      <w:permStart w:id="462356840" w:edGrp="everyone"/>
      <w:r>
        <w:t xml:space="preserve">As we outline in our answer to question 9, the international dimension is crucial here as the financial ecosystem is global in nature. Hence, we believe that any data sharing arrangement must </w:t>
      </w:r>
      <w:r w:rsidR="002E1262">
        <w:t>be developed with a view to having internationally cooperability involving consistent definitions and data content. This is necessary to have full market system risk analysis and monitoring.</w:t>
      </w:r>
    </w:p>
    <w:permEnd w:id="462356840"/>
    <w:p w14:paraId="080A2BB2" w14:textId="77777777" w:rsidR="00F21CF0" w:rsidRDefault="00F21CF0" w:rsidP="00F21CF0">
      <w:r>
        <w:t>&lt;ESMA_QUESTION_ICFD_11&gt;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t>&lt;ESMA_QUESTION_ICFD_12&gt;</w:t>
      </w:r>
    </w:p>
    <w:p w14:paraId="1D5CE3B1" w14:textId="457CA362" w:rsidR="00F21CF0" w:rsidRDefault="0096761A" w:rsidP="00F21CF0">
      <w:permStart w:id="870546551" w:edGrp="everyone"/>
      <w:r>
        <w:t>W</w:t>
      </w:r>
      <w:r w:rsidR="002E1262">
        <w:t xml:space="preserve">hile phased implementation may have advantages in terms of allowing stakeholders time to adjust to new requirements, we would caution against any method </w:t>
      </w:r>
      <w:r>
        <w:t>o</w:t>
      </w:r>
      <w:r w:rsidR="002E1262">
        <w:t xml:space="preserve">f implementation that would mean regular or constant changes in practice to the reporting obligations from industry. Such </w:t>
      </w:r>
      <w:r w:rsidR="00336194">
        <w:t xml:space="preserve">an implementation would involve increased costs and </w:t>
      </w:r>
      <w:r>
        <w:t xml:space="preserve">bring </w:t>
      </w:r>
      <w:r w:rsidR="00336194">
        <w:t xml:space="preserve">uncertainty. Implementation </w:t>
      </w:r>
      <w:r w:rsidR="00434AA6">
        <w:t>via a more direct method may be preferable.</w:t>
      </w:r>
    </w:p>
    <w:permEnd w:id="870546551"/>
    <w:p w14:paraId="0F97C649" w14:textId="77777777" w:rsidR="00F21CF0" w:rsidRDefault="00F21CF0" w:rsidP="00F21CF0">
      <w:r>
        <w:lastRenderedPageBreak/>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t>&lt;ESMA_QUESTION_ICFD_13&gt;</w:t>
      </w:r>
    </w:p>
    <w:p w14:paraId="75FD2523" w14:textId="77777777" w:rsidR="00F21CF0" w:rsidRDefault="00F21CF0" w:rsidP="00F21CF0">
      <w:permStart w:id="1380926179" w:edGrp="everyone"/>
      <w:r>
        <w:t>TYPE YOUR TEXT HERE</w:t>
      </w:r>
    </w:p>
    <w:permEnd w:id="1380926179"/>
    <w:p w14:paraId="0B86A342" w14:textId="77777777" w:rsidR="00F21CF0" w:rsidRDefault="00F21CF0" w:rsidP="00F21CF0">
      <w:r>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7A8EDB8A" w14:textId="3C303A3E" w:rsidR="004277D9" w:rsidRDefault="004277D9" w:rsidP="00F21CF0">
      <w:permStart w:id="158558208" w:edGrp="everyone"/>
      <w:r>
        <w:t xml:space="preserve">We would see merit in exploring a </w:t>
      </w:r>
      <w:r w:rsidR="008433CE">
        <w:t>standardisation</w:t>
      </w:r>
      <w:r>
        <w:t xml:space="preserve"> of </w:t>
      </w:r>
      <w:r w:rsidRPr="004277D9">
        <w:t>reporting format</w:t>
      </w:r>
      <w:r>
        <w:t>s</w:t>
      </w:r>
      <w:r w:rsidRPr="004277D9">
        <w:t xml:space="preserve"> to XML, based on proven effectiveness in other reporting systems </w:t>
      </w:r>
    </w:p>
    <w:permEnd w:id="158558208"/>
    <w:p w14:paraId="70B6E91C" w14:textId="690832B9"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t>&lt;ESMA_QUESTION_ICFD_15&gt;</w:t>
      </w:r>
    </w:p>
    <w:p w14:paraId="66B5FCFE" w14:textId="213743A1" w:rsidR="00506B43" w:rsidRDefault="00B54B2D" w:rsidP="00B575E1">
      <w:permStart w:id="1149514066" w:edGrp="everyone"/>
      <w:r>
        <w:t>No, we do not believe that an increase of data granularity will contribute to improved data quality, usability and reduced duplications. We note that at several sections in the consultation document, ESMA has made the conclusion that this would automatically be the case</w:t>
      </w:r>
      <w:r w:rsidR="00C008BF">
        <w:t>, in particular in paragraph</w:t>
      </w:r>
      <w:r w:rsidR="00506B43">
        <w:t>s</w:t>
      </w:r>
      <w:r w:rsidR="00C008BF">
        <w:t xml:space="preserve"> 205,</w:t>
      </w:r>
      <w:r w:rsidR="00506B43">
        <w:t xml:space="preserve"> 206 and 211.</w:t>
      </w:r>
    </w:p>
    <w:p w14:paraId="69EC5DF5" w14:textId="7A121E4F" w:rsidR="008138BD" w:rsidRDefault="00460CD6" w:rsidP="005F6588">
      <w:r>
        <w:t>Notably, paragraph 206 states that “granular data collection</w:t>
      </w:r>
      <w:r w:rsidR="0038664C">
        <w:t>….</w:t>
      </w:r>
      <w:r>
        <w:t xml:space="preserve"> </w:t>
      </w:r>
      <w:r w:rsidR="00B575E1" w:rsidRPr="00B575E1">
        <w:t>would be easier and cheaper to report than transformed or aggregated information.</w:t>
      </w:r>
      <w:r w:rsidR="0038664C">
        <w:t xml:space="preserve">” We </w:t>
      </w:r>
      <w:r w:rsidR="000B20A1">
        <w:t xml:space="preserve">would question this assertion and would </w:t>
      </w:r>
      <w:r w:rsidR="000B20A1">
        <w:lastRenderedPageBreak/>
        <w:t>also ask ESMA to provide a</w:t>
      </w:r>
      <w:r w:rsidR="00F94ECD">
        <w:t xml:space="preserve">n explanation for the basis of this assessment. It is the view of our members that having to change current reporting processes to provide more granular data to regulators would not </w:t>
      </w:r>
      <w:r w:rsidR="00420EE0">
        <w:t xml:space="preserve">in fact </w:t>
      </w:r>
      <w:r w:rsidR="00F94ECD">
        <w:t xml:space="preserve">be </w:t>
      </w:r>
      <w:r w:rsidR="00420EE0">
        <w:t>“</w:t>
      </w:r>
      <w:r w:rsidR="00F94ECD">
        <w:t>easier and cheaper</w:t>
      </w:r>
      <w:r w:rsidR="00420EE0">
        <w:t>.”</w:t>
      </w:r>
      <w:r w:rsidR="00F94ECD">
        <w:t xml:space="preserve"> </w:t>
      </w:r>
      <w:r w:rsidR="008138BD">
        <w:t>T</w:t>
      </w:r>
      <w:r w:rsidR="00545A51">
        <w:t xml:space="preserve">he approach outlined in paragraph 211 </w:t>
      </w:r>
      <w:r w:rsidR="005F6588">
        <w:t>–</w:t>
      </w:r>
      <w:r w:rsidR="00545A51">
        <w:t xml:space="preserve"> </w:t>
      </w:r>
      <w:r w:rsidR="005F6588">
        <w:t xml:space="preserve">security-by-security granularity where </w:t>
      </w:r>
      <w:r w:rsidR="001C00F7">
        <w:t>each financial instrument held by a fund is reported individually, using identifiers such as ISINs</w:t>
      </w:r>
      <w:r w:rsidR="005F6588">
        <w:t xml:space="preserve"> </w:t>
      </w:r>
      <w:r w:rsidR="00420EE0">
        <w:t>–</w:t>
      </w:r>
      <w:r w:rsidR="005F6588">
        <w:t xml:space="preserve"> </w:t>
      </w:r>
      <w:r w:rsidR="00AB7182" w:rsidRPr="00AB7182">
        <w:t>would in fact be more costly and time-consuming</w:t>
      </w:r>
      <w:r w:rsidR="00AB7182">
        <w:t>.</w:t>
      </w:r>
    </w:p>
    <w:p w14:paraId="6FB7EF59" w14:textId="0CD2F56B" w:rsidR="00453692" w:rsidRDefault="00453692" w:rsidP="00453692">
      <w:r>
        <w:t>Supervisory comfort with instrument-level data often assumes that positions can be uniquely and consistently identified</w:t>
      </w:r>
      <w:r w:rsidR="00420EE0">
        <w:t xml:space="preserve">, </w:t>
      </w:r>
      <w:r>
        <w:t>typically via ISINs. While such a model works reasonably well for plain-vanilla equities and bonds, it works much less well for alternative strategies whose investable universe spans bilateral loans, club loans, asset-based finance, trade receivables, real-asset participations, litigation claims, insurance-linked instruments, carbon credits, and other bespoke exposures. In many of these markets, ISINs either do not exist, are inconsistently assigned, or capture only a small portion of the economic substance.</w:t>
      </w:r>
    </w:p>
    <w:p w14:paraId="7E661B12" w14:textId="6308AC93" w:rsidR="00453692" w:rsidRDefault="00453692" w:rsidP="00453692">
      <w:r>
        <w:t xml:space="preserve">If we take private credit as an example, large syndicated loans sometimes receive </w:t>
      </w:r>
      <w:r w:rsidRPr="00453692">
        <w:t>Committee on</w:t>
      </w:r>
      <w:r>
        <w:t xml:space="preserve"> </w:t>
      </w:r>
      <w:r w:rsidRPr="00453692">
        <w:t>Uniform Securities Identification Procedures</w:t>
      </w:r>
      <w:r>
        <w:t xml:space="preserve"> (CUSIPs)/ISINs through registration services. Even in this space however, identifiers are facility-level and differ by tranche while the coverage tails off rapidly as one moves into bilateral, club, or highly bespoke structures - precisely where AIFs are most active. The identifier, where it exists, can lag new-money or amendment-and-extend cycles and may fail to reflect covenant packages, step-ups, earn-outs, and other economically material terms. For facilities without any security-master identifier, “instrument-level” reporting devolves into free-text fields or ad-hoc internal identifiers that are not comparable across reporters. The result is a profusion of non-harmonised entries that regulators cannot aggregate without manual reconciliation or costly data vendor intermediation. </w:t>
      </w:r>
    </w:p>
    <w:p w14:paraId="2E29778D" w14:textId="3AA49B4E" w:rsidR="00453692" w:rsidRDefault="00453692" w:rsidP="00453692">
      <w:r>
        <w:t>Similarly, real-asset strategies raise parallel issues. An AIF’s “instrument” may be an equity or partnership interest in a project vehicle, a revenue-sharing right, a long-term offtake contract, a capacity payment strip, or a royalty interest. None of these map cleanly to a single standard security identifier; many are contractually bespoke; some are embedded rights within broader shareholders’ agreements. In those cases where a wrapper has an ISIN (e.g., a note issued by an SPV), the ISIN says nothing about the underlying operating or regulatory risk that dominates the exposure</w:t>
      </w:r>
      <w:r w:rsidR="009605BE">
        <w:t xml:space="preserve">, </w:t>
      </w:r>
      <w:r>
        <w:t>and it says even less about lifecycle transitions (completion, refinancing, step-in) that change the risk profile over time.</w:t>
      </w:r>
    </w:p>
    <w:p w14:paraId="07DC395D" w14:textId="48DF6E66" w:rsidR="00453692" w:rsidRDefault="00453692" w:rsidP="00453692">
      <w:r>
        <w:t>Data granularity mismatch amplifies th</w:t>
      </w:r>
      <w:r w:rsidR="00044F57">
        <w:t>is</w:t>
      </w:r>
      <w:r>
        <w:t xml:space="preserve"> problem. Instrument-level fields geared to listed securities (identifier, currency, notional, maturity) do</w:t>
      </w:r>
      <w:r w:rsidR="00044F57">
        <w:t xml:space="preserve"> no</w:t>
      </w:r>
      <w:r>
        <w:t>t capture the covenant detail, collateral hierarchy, or performance triggers that supervisors actually need to understand credit risk. Attempting to expand the template to capture “all relevant credit terms” would recreate</w:t>
      </w:r>
      <w:r w:rsidR="00044F57">
        <w:t xml:space="preserve"> in a</w:t>
      </w:r>
      <w:r>
        <w:t xml:space="preserve"> piecemeal</w:t>
      </w:r>
      <w:r w:rsidR="00044F57">
        <w:t xml:space="preserve"> manner </w:t>
      </w:r>
      <w:r>
        <w:t xml:space="preserve">the level of detail </w:t>
      </w:r>
      <w:r w:rsidR="00044F57">
        <w:t xml:space="preserve">that </w:t>
      </w:r>
      <w:r>
        <w:t>one normally finds in credit agreements and security documents</w:t>
      </w:r>
      <w:r w:rsidR="009605BE">
        <w:t xml:space="preserve">, </w:t>
      </w:r>
      <w:r>
        <w:t xml:space="preserve">an exercise that is not scalable, raises confidentiality concerns and </w:t>
      </w:r>
      <w:r w:rsidR="00044F57">
        <w:t>will not allow for comparability across</w:t>
      </w:r>
      <w:r>
        <w:t xml:space="preserve"> bespoke deals.</w:t>
      </w:r>
    </w:p>
    <w:p w14:paraId="26914FCC" w14:textId="16A38691" w:rsidR="00453692" w:rsidRDefault="00453692" w:rsidP="00453692">
      <w:r>
        <w:lastRenderedPageBreak/>
        <w:t xml:space="preserve">A further lifecycle challenge arises because private instruments </w:t>
      </w:r>
      <w:r w:rsidR="00044F57">
        <w:t>undergo changes</w:t>
      </w:r>
      <w:r>
        <w:t xml:space="preserve"> frequently</w:t>
      </w:r>
      <w:r w:rsidR="00044F57">
        <w:t>. These often come in the form of</w:t>
      </w:r>
      <w:r>
        <w:t xml:space="preserve"> amendments, waivers, facility upsizes, </w:t>
      </w:r>
      <w:r w:rsidR="00044F57">
        <w:t>payment-in-kind (</w:t>
      </w:r>
      <w:r>
        <w:t>PIK</w:t>
      </w:r>
      <w:r w:rsidR="00044F57">
        <w:t>)</w:t>
      </w:r>
      <w:r>
        <w:t xml:space="preserve"> toggles, margin ratchets, collateral substitutions, and intercreditor changes are routine. If instrument-level reporting expects a new “instrument record” or a refreshed set of terms at each change, firms will face a continuous reporting treadmill, while supervisors receive multiple partially overlapping records whose linkages are hard to maintain.</w:t>
      </w:r>
    </w:p>
    <w:p w14:paraId="770E7C2E" w14:textId="156B4191" w:rsidR="00453692" w:rsidRDefault="00FE30E7" w:rsidP="00453692">
      <w:r>
        <w:t>Even</w:t>
      </w:r>
      <w:r w:rsidR="00453692">
        <w:t xml:space="preserve"> when a standard identifier exists, cross-regime duplication and divergence creep in. For example, a loan exposure may appear in prudential templates, securitisation disclosures, and (if hedged) in EMIR data. Each regime uses different data dictionaries and governs different submitters and timelines. Imposing another instrument-level duty under AIFMD will increase reconciliation friction without a clear marginal benefit unless ESMA provides a reference model that lets NCAs join up these datasets.</w:t>
      </w:r>
    </w:p>
    <w:p w14:paraId="105BABCB" w14:textId="4064E77B" w:rsidR="00165691" w:rsidRDefault="00165691" w:rsidP="005F6588">
      <w:r>
        <w:t xml:space="preserve">While we question the proposed data collection method, we strongly </w:t>
      </w:r>
      <w:r w:rsidR="00847E1A">
        <w:t xml:space="preserve">dispute the assertion put forward in paragraph 211 that such a granular approach </w:t>
      </w:r>
      <w:r w:rsidR="0077189C">
        <w:t xml:space="preserve">would enable </w:t>
      </w:r>
      <w:r w:rsidR="00F7121D">
        <w:t>“</w:t>
      </w:r>
      <w:r w:rsidR="0077189C">
        <w:t>analytical flexibility</w:t>
      </w:r>
      <w:r w:rsidR="00F7121D">
        <w:t>” and “robust portfolio monitoring.”</w:t>
      </w:r>
      <w:r w:rsidR="008E5D4E">
        <w:t xml:space="preserve"> As we explain above in our answers to questions 7 and 9, </w:t>
      </w:r>
      <w:r w:rsidR="008E5D4E" w:rsidRPr="008E5D4E">
        <w:t xml:space="preserve">the design of </w:t>
      </w:r>
      <w:r w:rsidR="008E5D4E">
        <w:t xml:space="preserve">any new </w:t>
      </w:r>
      <w:r w:rsidR="008E5D4E" w:rsidRPr="008E5D4E">
        <w:t>reporting</w:t>
      </w:r>
      <w:r w:rsidR="008E5D4E">
        <w:t xml:space="preserve"> framework</w:t>
      </w:r>
      <w:r w:rsidR="008E5D4E" w:rsidRPr="008E5D4E">
        <w:t xml:space="preserve"> should reflect how risk is actually understood and managed by investors. Systemic risk arises not from isolated exposures, but from the ways in which risks are aggregated across portfolios and firms. To be useful, the data collected must therefore be composable and aggregable</w:t>
      </w:r>
      <w:r w:rsidR="007679B0">
        <w:t xml:space="preserve">, </w:t>
      </w:r>
      <w:r w:rsidR="008E5D4E" w:rsidRPr="008E5D4E">
        <w:t>that is, capable of being meaningfully combined and adjusted to reflect portfolio-level exposures, concentrations and risk characteristics.</w:t>
      </w:r>
    </w:p>
    <w:p w14:paraId="2B589B6E" w14:textId="06950A9C" w:rsidR="008E5D4E" w:rsidRDefault="008E5D4E" w:rsidP="005F6588">
      <w:r>
        <w:t xml:space="preserve">It is the meaningful nature of the data – and not simply the dumping of a huge volume of data </w:t>
      </w:r>
      <w:r w:rsidR="004C0093">
        <w:t>–</w:t>
      </w:r>
      <w:r>
        <w:t xml:space="preserve"> </w:t>
      </w:r>
      <w:r w:rsidR="004C0093">
        <w:t xml:space="preserve">that allows regulators to carry out portfolio monitoring with a view to identifying and monitoring systemic risk. We believe that disclosure of data by itself is not conducive to monitoring risk as the data itself will necessarily need to be transformed into meaningful metrics. It is the actual development of these metrics that gets to the heart of the issue. We </w:t>
      </w:r>
      <w:r w:rsidR="00473FA6">
        <w:t>explore this issue more in our answer to question 16 below.</w:t>
      </w:r>
    </w:p>
    <w:p w14:paraId="621AA7C9" w14:textId="3CA6DE3E" w:rsidR="00ED656C" w:rsidRDefault="001B08A7" w:rsidP="0011216D">
      <w:r>
        <w:t xml:space="preserve">We note that the consultation document puts forward 2 options here, </w:t>
      </w:r>
      <w:r w:rsidR="000E7388">
        <w:t>SS1:</w:t>
      </w:r>
      <w:r w:rsidR="00E2539F">
        <w:t xml:space="preserve"> </w:t>
      </w:r>
      <w:r w:rsidR="00E70E29">
        <w:t>f</w:t>
      </w:r>
      <w:r w:rsidR="000E7388">
        <w:t>ull security-by security reporting</w:t>
      </w:r>
      <w:r w:rsidR="00E70E29">
        <w:t xml:space="preserve"> </w:t>
      </w:r>
      <w:r w:rsidR="00B77150">
        <w:t xml:space="preserve">and </w:t>
      </w:r>
      <w:r w:rsidR="000E7388">
        <w:t xml:space="preserve">SS2: </w:t>
      </w:r>
      <w:r w:rsidR="00B77150">
        <w:t>p</w:t>
      </w:r>
      <w:r w:rsidR="000E7388">
        <w:t>artial security-by security reporting</w:t>
      </w:r>
      <w:r w:rsidR="00B77150">
        <w:t>. While we do not support either of these options, we note that option 1, full security-by-security</w:t>
      </w:r>
      <w:r w:rsidR="00C51666">
        <w:t xml:space="preserve"> reporting, </w:t>
      </w:r>
      <w:r w:rsidR="0011216D">
        <w:t xml:space="preserve">includes the requirement </w:t>
      </w:r>
      <w:r w:rsidR="0011216D" w:rsidRPr="0011216D">
        <w:t>to report all exposures and financial assets on a security basis.</w:t>
      </w:r>
      <w:r w:rsidR="0011216D">
        <w:t xml:space="preserve"> T</w:t>
      </w:r>
      <w:r w:rsidR="00ED656C" w:rsidRPr="00ED656C">
        <w:t xml:space="preserve">his is different from </w:t>
      </w:r>
      <w:r w:rsidR="0011216D">
        <w:t xml:space="preserve">the </w:t>
      </w:r>
      <w:r w:rsidR="00ED656C" w:rsidRPr="00ED656C">
        <w:t>ECB reporting</w:t>
      </w:r>
      <w:r w:rsidR="0011216D">
        <w:t xml:space="preserve"> framework</w:t>
      </w:r>
      <w:r w:rsidR="00ED656C" w:rsidRPr="00ED656C">
        <w:t xml:space="preserve"> which does not require </w:t>
      </w:r>
      <w:r w:rsidR="0011216D">
        <w:t>such a</w:t>
      </w:r>
      <w:r w:rsidR="00ED656C" w:rsidRPr="00ED656C">
        <w:t xml:space="preserve"> look</w:t>
      </w:r>
      <w:r w:rsidR="00A10DBC">
        <w:t xml:space="preserve"> </w:t>
      </w:r>
      <w:r w:rsidR="00ED656C" w:rsidRPr="00ED656C">
        <w:t>through</w:t>
      </w:r>
      <w:r w:rsidR="0011216D">
        <w:t xml:space="preserve"> approach </w:t>
      </w:r>
      <w:r w:rsidR="002D23EF">
        <w:t>needed t</w:t>
      </w:r>
      <w:r w:rsidR="00ED656C" w:rsidRPr="00ED656C">
        <w:t>o do a proper exposure analysis</w:t>
      </w:r>
      <w:r w:rsidR="00ED656C">
        <w:t xml:space="preserve">. </w:t>
      </w:r>
      <w:r w:rsidR="002D23EF">
        <w:t>Moving</w:t>
      </w:r>
      <w:r w:rsidR="00ED656C" w:rsidRPr="00ED656C">
        <w:t xml:space="preserve"> to exposures over simple position listings </w:t>
      </w:r>
      <w:r w:rsidR="002D23EF">
        <w:t>(as per</w:t>
      </w:r>
      <w:r w:rsidR="00ED656C" w:rsidRPr="00ED656C">
        <w:t xml:space="preserve"> ECB </w:t>
      </w:r>
      <w:r w:rsidR="002D23EF">
        <w:t xml:space="preserve">framework requirements) would therefore involve </w:t>
      </w:r>
      <w:r w:rsidR="00ED656C" w:rsidRPr="00ED656C">
        <w:t>layering ECB requirements with existing exposure related requirements (albeit in substantially more detail and granularity than currently)</w:t>
      </w:r>
      <w:r w:rsidR="00812A43">
        <w:t xml:space="preserve">. As a result, </w:t>
      </w:r>
      <w:r w:rsidR="00ED656C" w:rsidRPr="00ED656C">
        <w:t>no overlaps have been reduced and overall reporting burdens have been substantially increased</w:t>
      </w:r>
      <w:r w:rsidR="00812A43">
        <w:t>.</w:t>
      </w:r>
    </w:p>
    <w:p w14:paraId="7ADB6574" w14:textId="096CA266" w:rsidR="00F21CF0" w:rsidRDefault="00732AC6" w:rsidP="00A95CD7">
      <w:pPr>
        <w:pStyle w:val="ABody10pt"/>
        <w:ind w:right="0"/>
        <w:jc w:val="both"/>
      </w:pPr>
      <w:bookmarkStart w:id="13" w:name="_Hlk204190696"/>
      <w:r w:rsidRPr="00732AC6">
        <w:rPr>
          <w:rFonts w:ascii="Arial" w:hAnsi="Arial" w:cs="Arial"/>
          <w:sz w:val="22"/>
        </w:rPr>
        <w:t xml:space="preserve">On a broader point, while ESMA considers that security-by-security granularity is considered a cornerstone for the harmonisation of supervisory and statistical reporting, it is important to note </w:t>
      </w:r>
      <w:r w:rsidRPr="00732AC6">
        <w:rPr>
          <w:rFonts w:ascii="Arial" w:hAnsi="Arial" w:cs="Arial"/>
          <w:sz w:val="22"/>
        </w:rPr>
        <w:lastRenderedPageBreak/>
        <w:t>that this is not the case outside the EU, for example in the U</w:t>
      </w:r>
      <w:r w:rsidR="00376B7E">
        <w:rPr>
          <w:rFonts w:ascii="Arial" w:hAnsi="Arial" w:cs="Arial"/>
          <w:sz w:val="22"/>
        </w:rPr>
        <w:t>.</w:t>
      </w:r>
      <w:r w:rsidRPr="00732AC6">
        <w:rPr>
          <w:rFonts w:ascii="Arial" w:hAnsi="Arial" w:cs="Arial"/>
          <w:sz w:val="22"/>
        </w:rPr>
        <w:t>S</w:t>
      </w:r>
      <w:r w:rsidR="00376B7E">
        <w:rPr>
          <w:rFonts w:ascii="Arial" w:hAnsi="Arial" w:cs="Arial"/>
          <w:sz w:val="22"/>
        </w:rPr>
        <w:t>.</w:t>
      </w:r>
      <w:r w:rsidRPr="00732AC6">
        <w:rPr>
          <w:rFonts w:ascii="Arial" w:hAnsi="Arial" w:cs="Arial"/>
          <w:sz w:val="22"/>
        </w:rPr>
        <w:t xml:space="preserve"> and</w:t>
      </w:r>
      <w:r w:rsidR="00376B7E">
        <w:rPr>
          <w:rFonts w:ascii="Arial" w:hAnsi="Arial" w:cs="Arial"/>
          <w:sz w:val="22"/>
        </w:rPr>
        <w:t xml:space="preserve"> the</w:t>
      </w:r>
      <w:r w:rsidRPr="00732AC6">
        <w:rPr>
          <w:rFonts w:ascii="Arial" w:hAnsi="Arial" w:cs="Arial"/>
          <w:sz w:val="22"/>
        </w:rPr>
        <w:t xml:space="preserve"> UK.</w:t>
      </w:r>
      <w:r w:rsidR="00A95CD7">
        <w:rPr>
          <w:rFonts w:ascii="Arial" w:hAnsi="Arial" w:cs="Arial"/>
          <w:sz w:val="22"/>
        </w:rPr>
        <w:t xml:space="preserve"> </w:t>
      </w:r>
      <w:r w:rsidR="001B08A7" w:rsidRPr="001B08A7">
        <w:rPr>
          <w:rFonts w:ascii="Arial" w:hAnsi="Arial" w:cs="Arial"/>
          <w:sz w:val="22"/>
        </w:rPr>
        <w:t>If either of these options</w:t>
      </w:r>
      <w:r w:rsidR="00397866">
        <w:rPr>
          <w:rFonts w:ascii="Arial" w:hAnsi="Arial" w:cs="Arial"/>
          <w:sz w:val="22"/>
        </w:rPr>
        <w:t xml:space="preserve"> put forward in the consultation</w:t>
      </w:r>
      <w:r w:rsidR="001B08A7" w:rsidRPr="001B08A7">
        <w:rPr>
          <w:rFonts w:ascii="Arial" w:hAnsi="Arial" w:cs="Arial"/>
          <w:sz w:val="22"/>
        </w:rPr>
        <w:t xml:space="preserve"> were</w:t>
      </w:r>
      <w:r w:rsidR="00397866">
        <w:rPr>
          <w:rFonts w:ascii="Arial" w:hAnsi="Arial" w:cs="Arial"/>
          <w:sz w:val="22"/>
        </w:rPr>
        <w:t xml:space="preserve"> to be</w:t>
      </w:r>
      <w:r w:rsidR="001B08A7" w:rsidRPr="001B08A7">
        <w:rPr>
          <w:rFonts w:ascii="Arial" w:hAnsi="Arial" w:cs="Arial"/>
          <w:sz w:val="22"/>
        </w:rPr>
        <w:t xml:space="preserve"> adopted, it would mean that the EU would diverge from international</w:t>
      </w:r>
      <w:r w:rsidR="00C05D57">
        <w:rPr>
          <w:rFonts w:ascii="Arial" w:hAnsi="Arial" w:cs="Arial"/>
          <w:sz w:val="22"/>
        </w:rPr>
        <w:t xml:space="preserve"> stan</w:t>
      </w:r>
      <w:r w:rsidR="001B08A7" w:rsidRPr="001B08A7">
        <w:rPr>
          <w:rFonts w:ascii="Arial" w:hAnsi="Arial" w:cs="Arial"/>
          <w:sz w:val="22"/>
        </w:rPr>
        <w:t xml:space="preserve">dards, most notably </w:t>
      </w:r>
      <w:r w:rsidR="00F77891" w:rsidRPr="001B08A7">
        <w:rPr>
          <w:rFonts w:ascii="Arial" w:hAnsi="Arial" w:cs="Arial"/>
          <w:sz w:val="22"/>
        </w:rPr>
        <w:t>the OECD 2019 principles.</w:t>
      </w:r>
      <w:r w:rsidR="00A62F21">
        <w:rPr>
          <w:rStyle w:val="FootnoteReference"/>
          <w:rFonts w:ascii="Arial" w:hAnsi="Arial" w:cs="Arial"/>
          <w:sz w:val="22"/>
        </w:rPr>
        <w:footnoteReference w:id="7"/>
      </w:r>
      <w:r w:rsidR="00F77891" w:rsidRPr="001B08A7">
        <w:rPr>
          <w:rFonts w:ascii="Arial" w:hAnsi="Arial" w:cs="Arial"/>
          <w:sz w:val="22"/>
        </w:rPr>
        <w:t xml:space="preserve"> </w:t>
      </w:r>
      <w:r w:rsidR="00A62F21">
        <w:rPr>
          <w:rFonts w:ascii="Arial" w:hAnsi="Arial" w:cs="Arial"/>
          <w:sz w:val="22"/>
        </w:rPr>
        <w:t xml:space="preserve">This would mean removing </w:t>
      </w:r>
      <w:r w:rsidR="00F77891" w:rsidRPr="001B08A7">
        <w:rPr>
          <w:rFonts w:ascii="Arial" w:hAnsi="Arial" w:cs="Arial"/>
          <w:sz w:val="22"/>
        </w:rPr>
        <w:t>compatibility with the U</w:t>
      </w:r>
      <w:r w:rsidR="00376B7E">
        <w:rPr>
          <w:rFonts w:ascii="Arial" w:hAnsi="Arial" w:cs="Arial"/>
          <w:sz w:val="22"/>
        </w:rPr>
        <w:t>.</w:t>
      </w:r>
      <w:r w:rsidR="00F77891" w:rsidRPr="001B08A7">
        <w:rPr>
          <w:rFonts w:ascii="Arial" w:hAnsi="Arial" w:cs="Arial"/>
          <w:sz w:val="22"/>
        </w:rPr>
        <w:t>S</w:t>
      </w:r>
      <w:r w:rsidR="00376B7E">
        <w:rPr>
          <w:rFonts w:ascii="Arial" w:hAnsi="Arial" w:cs="Arial"/>
          <w:sz w:val="22"/>
        </w:rPr>
        <w:t>.</w:t>
      </w:r>
      <w:r w:rsidR="00F77891" w:rsidRPr="001B08A7">
        <w:rPr>
          <w:rFonts w:ascii="Arial" w:hAnsi="Arial" w:cs="Arial"/>
          <w:sz w:val="22"/>
        </w:rPr>
        <w:t xml:space="preserve"> and</w:t>
      </w:r>
      <w:r w:rsidR="00376B7E">
        <w:rPr>
          <w:rFonts w:ascii="Arial" w:hAnsi="Arial" w:cs="Arial"/>
          <w:sz w:val="22"/>
        </w:rPr>
        <w:t xml:space="preserve"> the</w:t>
      </w:r>
      <w:r w:rsidR="00F77891" w:rsidRPr="001B08A7">
        <w:rPr>
          <w:rFonts w:ascii="Arial" w:hAnsi="Arial" w:cs="Arial"/>
          <w:sz w:val="22"/>
        </w:rPr>
        <w:t xml:space="preserve"> UK </w:t>
      </w:r>
      <w:r w:rsidR="00A62F21">
        <w:rPr>
          <w:rFonts w:ascii="Arial" w:hAnsi="Arial" w:cs="Arial"/>
          <w:sz w:val="22"/>
        </w:rPr>
        <w:t xml:space="preserve">standards and in the process, it would make </w:t>
      </w:r>
      <w:r w:rsidR="00F77891" w:rsidRPr="001B08A7">
        <w:rPr>
          <w:rFonts w:ascii="Arial" w:hAnsi="Arial" w:cs="Arial"/>
          <w:sz w:val="22"/>
        </w:rPr>
        <w:t>the EU a less competitive location in which to do business.</w:t>
      </w:r>
      <w:r w:rsidR="005E3875" w:rsidRPr="001B08A7">
        <w:rPr>
          <w:rFonts w:ascii="Arial" w:hAnsi="Arial" w:cs="Arial"/>
          <w:sz w:val="22"/>
        </w:rPr>
        <w:t xml:space="preserve"> </w:t>
      </w:r>
      <w:bookmarkEnd w:id="13"/>
    </w:p>
    <w:p w14:paraId="63433332" w14:textId="1865676E" w:rsidR="00F77891" w:rsidRDefault="00B9796C" w:rsidP="00F21CF0">
      <w:r>
        <w:t>In the U</w:t>
      </w:r>
      <w:r w:rsidR="00376B7E">
        <w:t>.</w:t>
      </w:r>
      <w:r>
        <w:t>S</w:t>
      </w:r>
      <w:r w:rsidR="00376B7E">
        <w:t>.</w:t>
      </w:r>
      <w:r>
        <w:t xml:space="preserve">, </w:t>
      </w:r>
      <w:r w:rsidRPr="00B9796C">
        <w:t>the revised version of the U.S. Securities and Exchange Commission’s</w:t>
      </w:r>
      <w:r w:rsidR="00322C4D">
        <w:t xml:space="preserve"> (SEC)</w:t>
      </w:r>
      <w:r w:rsidRPr="00B9796C">
        <w:t xml:space="preserve"> systemic risk reporting template, Form PF, seeks information on gross asset value, net asset value, investor capital flows, liquidity management, beneficial ownership breakdown, borrowings, fair value hierarchy, performance breakdowns, strategy categories, counterparties and collateral, trading and clearing mechanisms for all funds. For the largest hedge funds, additional data is required, namely, aggregate monthly exposures by sub-asset class, monthly net long and net short currency exposure, monthly turnover by asset class, country and industry exposures, portfolio liquidity, unencumbered cash, exposures to reference assets by sub-asset class and instrument type, counterparty exposures by asset class and collateral posted.</w:t>
      </w:r>
      <w:r w:rsidR="00CF5A20">
        <w:rPr>
          <w:rStyle w:val="FootnoteReference"/>
        </w:rPr>
        <w:footnoteReference w:id="8"/>
      </w:r>
      <w:r w:rsidRPr="00B9796C">
        <w:t xml:space="preserve"> </w:t>
      </w:r>
      <w:r w:rsidR="00322C4D">
        <w:t>The U</w:t>
      </w:r>
      <w:r w:rsidR="00376B7E">
        <w:t>.</w:t>
      </w:r>
      <w:r w:rsidR="00322C4D">
        <w:t>S</w:t>
      </w:r>
      <w:r w:rsidR="00376B7E">
        <w:t>.</w:t>
      </w:r>
      <w:r w:rsidR="00322C4D">
        <w:t xml:space="preserve"> SEC has recently announced its intention to revise Form PF with a view to </w:t>
      </w:r>
      <w:r>
        <w:t>mak</w:t>
      </w:r>
      <w:r w:rsidR="00322C4D">
        <w:t xml:space="preserve">ing the </w:t>
      </w:r>
      <w:r>
        <w:t>reporting burden lighter on funds</w:t>
      </w:r>
      <w:r w:rsidR="00322C4D">
        <w:t xml:space="preserve"> and questioning whether the amount of data collected should be reduced, i.e.</w:t>
      </w:r>
      <w:r w:rsidR="004B69FB">
        <w:t>, seemingly</w:t>
      </w:r>
      <w:r w:rsidR="00322C4D">
        <w:t xml:space="preserve"> going in the opposite direction of the EU.</w:t>
      </w:r>
      <w:r w:rsidR="00DA0D2C">
        <w:rPr>
          <w:rStyle w:val="FootnoteReference"/>
        </w:rPr>
        <w:footnoteReference w:id="9"/>
      </w:r>
      <w:r w:rsidR="00322C4D">
        <w:t xml:space="preserve"> </w:t>
      </w:r>
    </w:p>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2DF331FA" w14:textId="26459FD0" w:rsidR="00F21CF0" w:rsidRDefault="00EF0E91" w:rsidP="00F21CF0">
      <w:permStart w:id="484980599" w:edGrp="everyone"/>
      <w:r>
        <w:t>We do not agree that security-by-security reporting should be the baseline.</w:t>
      </w:r>
    </w:p>
    <w:p w14:paraId="73BF7241" w14:textId="57F8752B" w:rsidR="005666D3" w:rsidRDefault="005666D3" w:rsidP="005666D3">
      <w:bookmarkStart w:id="14" w:name="_Hlk204191006"/>
      <w:r>
        <w:t>We appreciate that regulators would like to have as much detailed information as possible, but such asks are often founded on the misperception that with the instrument</w:t>
      </w:r>
      <w:r w:rsidR="002B44EA">
        <w:t>-</w:t>
      </w:r>
      <w:r>
        <w:t xml:space="preserve">level data the regulator </w:t>
      </w:r>
      <w:r>
        <w:lastRenderedPageBreak/>
        <w:t xml:space="preserve">will have the greatest chance of identifying systemic risk. </w:t>
      </w:r>
      <w:bookmarkEnd w:id="14"/>
      <w:r>
        <w:t>We would stress that it is possible to deliver more relevant information to regulators than is currently the case without having to disclose position and instrument</w:t>
      </w:r>
      <w:r w:rsidR="002B44EA">
        <w:t>-</w:t>
      </w:r>
      <w:r>
        <w:t>level data.</w:t>
      </w:r>
      <w:r w:rsidR="00322C4D">
        <w:t xml:space="preserve"> </w:t>
      </w:r>
    </w:p>
    <w:p w14:paraId="128F117D" w14:textId="39FE8C8E" w:rsidR="005666D3" w:rsidRDefault="003A5ABC" w:rsidP="005666D3">
      <w:r>
        <w:t>Firstly, from a risk-identification perspective, a</w:t>
      </w:r>
      <w:r w:rsidR="005666D3">
        <w:t xml:space="preserve"> mere listing of the holdings of a fund is often unhelpful on its own when trying to understand the type or types of exposure a fund has. For example, the fact that a fund has shares in another fund or a holding in a total return swap reveals nothing about what risks the find is actually exposed to. To get that understanding, one must also collect aggregate exposure information</w:t>
      </w:r>
      <w:r w:rsidR="005666D3" w:rsidRPr="004079AA">
        <w:t>.</w:t>
      </w:r>
      <w:r w:rsidR="00512C77">
        <w:t xml:space="preserve"> </w:t>
      </w:r>
      <w:r w:rsidR="005666D3">
        <w:t>Importantly, however, the reverse is not true.  It is not necessary to have the simple list of holdings in order to understand the exposure data we are proposing.</w:t>
      </w:r>
    </w:p>
    <w:p w14:paraId="771AC3C7" w14:textId="77777777" w:rsidR="00361F66" w:rsidRDefault="003A5ABC" w:rsidP="00361F66">
      <w:r>
        <w:t xml:space="preserve">Secondly, security-by-security reporting poses many challenges which do not appear to have been considered in the consultation document. </w:t>
      </w:r>
      <w:r w:rsidR="00361F66">
        <w:t>A central problem in mandating instrument-level reporting for AIFs lies in the fact that many AIFs do not hold their investments directly. Instead, they often employ holding vehicles, special purpose vehicles (SPVs), trading subsidiaries, or fund-of-funds structures. These intermediating layers are not incidental: they are essential components of modern fund structuring, used to address tax, regulatory, financing, governance, or operational considerations. From a prudential or risk-assessment perspective, however, this means that reporting the instrument positions at the level of the AIF itself may provide little genuine insight into the portfolio’s underlying exposures.</w:t>
      </w:r>
    </w:p>
    <w:p w14:paraId="58D59C02" w14:textId="77777777" w:rsidR="00361F66" w:rsidRDefault="00361F66" w:rsidP="00361F66">
      <w:bookmarkStart w:id="15" w:name="_Hlk209177384"/>
      <w:r>
        <w:t>Consider, for example, an AIF investing in infrastructure equity through a Luxembourg SPV. The AIF’s “direct holding” is an equity interest in the SPV, but the ultimate exposure is to the infrastructure asset. Instrument-level reporting that captures only the SPV equity interest fails to convey the nature of the underlying risk. Conversely, a requirement to “look through” the SPV to capture the asset position would be more informative, but would create significant operational and conceptual difficulties</w:t>
      </w:r>
      <w:bookmarkEnd w:id="15"/>
      <w:r>
        <w:t>:</w:t>
      </w:r>
    </w:p>
    <w:p w14:paraId="15CED62A" w14:textId="6676612E" w:rsidR="00361F66" w:rsidRDefault="00361F66" w:rsidP="00A84FD7">
      <w:pPr>
        <w:pStyle w:val="ListParagraph"/>
        <w:numPr>
          <w:ilvl w:val="0"/>
          <w:numId w:val="43"/>
        </w:numPr>
      </w:pPr>
      <w:r w:rsidRPr="00F04A4A">
        <w:rPr>
          <w:u w:val="single"/>
        </w:rPr>
        <w:t>Defining the reporting boundary</w:t>
      </w:r>
      <w:r w:rsidR="00BC1426" w:rsidRPr="00935FE6">
        <w:t>:</w:t>
      </w:r>
      <w:r w:rsidR="00F04A4A" w:rsidRPr="00935FE6">
        <w:t xml:space="preserve"> </w:t>
      </w:r>
      <w:r>
        <w:t>It is not clear at which layer the look</w:t>
      </w:r>
      <w:r w:rsidR="00935FE6">
        <w:t xml:space="preserve"> </w:t>
      </w:r>
      <w:r>
        <w:t>through obligation should stop. Many funds employ multi-tier SPV structures, each established for legitimate reasons (financing arrangements, joint-venture governance, or cross-border legal considerations). Would an AIF be required</w:t>
      </w:r>
      <w:r w:rsidR="00E666C3">
        <w:t xml:space="preserve"> for example</w:t>
      </w:r>
      <w:r>
        <w:t xml:space="preserve"> to report on every intermediate layer, or only on the ultimate operating company or asset? </w:t>
      </w:r>
      <w:r w:rsidR="00E666C3">
        <w:t xml:space="preserve">In the absence of </w:t>
      </w:r>
      <w:r>
        <w:t>very precise guidance, firms would make different interpretative choices, undermining data comparability and leading to inconsistent reporting.</w:t>
      </w:r>
    </w:p>
    <w:p w14:paraId="28EAF0DC" w14:textId="77777777" w:rsidR="00E666C3" w:rsidRDefault="00E666C3" w:rsidP="00E666C3">
      <w:pPr>
        <w:pStyle w:val="ListParagraph"/>
      </w:pPr>
    </w:p>
    <w:p w14:paraId="3AFAD024" w14:textId="560015B8" w:rsidR="00361F66" w:rsidRDefault="00361F66" w:rsidP="00C1601B">
      <w:pPr>
        <w:pStyle w:val="ListParagraph"/>
        <w:numPr>
          <w:ilvl w:val="0"/>
          <w:numId w:val="43"/>
        </w:numPr>
      </w:pPr>
      <w:r w:rsidRPr="00F04A4A">
        <w:rPr>
          <w:u w:val="single"/>
        </w:rPr>
        <w:t>Practical impossibility in fund-of-funds</w:t>
      </w:r>
      <w:r w:rsidR="00E666C3" w:rsidRPr="00935FE6">
        <w:t>:</w:t>
      </w:r>
      <w:r w:rsidR="00F04A4A" w:rsidRPr="00935FE6">
        <w:t xml:space="preserve"> </w:t>
      </w:r>
      <w:r>
        <w:t>For AIFs structured as funds-of-funds, th</w:t>
      </w:r>
      <w:r w:rsidR="00E666C3">
        <w:t>is</w:t>
      </w:r>
      <w:r>
        <w:t xml:space="preserve"> problem is compounded. AIFs generally have no legal right to obtain detailed position-level data from the funds in which they invest, unless the manager has specifically negotiated for such access. Even where transparency agreements exist, they may not extend to the level </w:t>
      </w:r>
      <w:r>
        <w:lastRenderedPageBreak/>
        <w:t>of granularity envisaged by ESMA. It would be unreasonable and disproportionate to expect AIFs to compel underlying funds to furnish data when those funds are not themselves legally obligated to do so.</w:t>
      </w:r>
    </w:p>
    <w:p w14:paraId="76CFF05F" w14:textId="77777777" w:rsidR="00E666C3" w:rsidRDefault="00E666C3" w:rsidP="00E666C3">
      <w:pPr>
        <w:pStyle w:val="ListParagraph"/>
      </w:pPr>
    </w:p>
    <w:p w14:paraId="430FC879" w14:textId="6A6C986E" w:rsidR="00361F66" w:rsidRDefault="00361F66" w:rsidP="00E71B6E">
      <w:pPr>
        <w:pStyle w:val="ListParagraph"/>
        <w:numPr>
          <w:ilvl w:val="0"/>
          <w:numId w:val="43"/>
        </w:numPr>
      </w:pPr>
      <w:r w:rsidRPr="00935FE6">
        <w:rPr>
          <w:u w:val="single"/>
        </w:rPr>
        <w:t>Duplicative costs without commensurate benefit</w:t>
      </w:r>
      <w:r w:rsidR="00E666C3" w:rsidRPr="00935FE6">
        <w:t>:</w:t>
      </w:r>
      <w:r w:rsidR="00935FE6" w:rsidRPr="00935FE6">
        <w:t xml:space="preserve"> </w:t>
      </w:r>
      <w:r>
        <w:t>Attempting to implement look</w:t>
      </w:r>
      <w:r w:rsidR="00A10DBC">
        <w:t xml:space="preserve"> </w:t>
      </w:r>
      <w:r>
        <w:t>through reporting across layers would create an extensive compliance burden. Systems would need to be built to consolidate position data across multiple entities, potentially in different jurisdictions with different accounting standards. Data collection from third-party funds would require bespoke legal arrangements, if achievable at all. The incremental benefit to supervisors</w:t>
      </w:r>
      <w:r w:rsidR="000C0C53">
        <w:t xml:space="preserve">, </w:t>
      </w:r>
      <w:r>
        <w:t>who may still end up with incomplete or inconsistent data</w:t>
      </w:r>
      <w:r w:rsidR="000C0C53">
        <w:t xml:space="preserve">, </w:t>
      </w:r>
      <w:r>
        <w:t>would be small relative to the substantial costs imposed on the industry.</w:t>
      </w:r>
    </w:p>
    <w:p w14:paraId="2ED54FEF" w14:textId="77777777" w:rsidR="00C60D55" w:rsidRDefault="00C60D55" w:rsidP="00C60D55">
      <w:pPr>
        <w:pStyle w:val="ListParagraph"/>
      </w:pPr>
    </w:p>
    <w:p w14:paraId="4F8AAA2A" w14:textId="2763C722" w:rsidR="00361F66" w:rsidRDefault="00361F66" w:rsidP="00E51DCB">
      <w:pPr>
        <w:pStyle w:val="ListParagraph"/>
        <w:numPr>
          <w:ilvl w:val="0"/>
          <w:numId w:val="43"/>
        </w:numPr>
      </w:pPr>
      <w:r w:rsidRPr="000C0C53">
        <w:rPr>
          <w:u w:val="single"/>
        </w:rPr>
        <w:t>Supervisory usability</w:t>
      </w:r>
      <w:r w:rsidR="00C60D55" w:rsidRPr="000C0C53">
        <w:t>:</w:t>
      </w:r>
      <w:r w:rsidR="000C0C53" w:rsidRPr="000C0C53">
        <w:t xml:space="preserve"> </w:t>
      </w:r>
      <w:r>
        <w:t>Even if look</w:t>
      </w:r>
      <w:r w:rsidR="00A10DBC">
        <w:t xml:space="preserve"> </w:t>
      </w:r>
      <w:r>
        <w:t>through data were provided, supervisors would face the challenge of aggregating and reconciling positions across multiple layers, each reported at different valuation bases or with timing mismatches. This could easily lead to a situation where the reported data appear incoherent or misleading rather than illuminating.</w:t>
      </w:r>
    </w:p>
    <w:p w14:paraId="15AEEFCB" w14:textId="50E3CDCD" w:rsidR="00361F66" w:rsidRDefault="00361F66" w:rsidP="00361F66">
      <w:r>
        <w:t>The practical outcome of requiring instrument-level reporting in these circumstances would likely be that regulators receive reams of information about SPV shares, partnership units, or fund participations—without any ability to infer the true economic exposure. Forcing a costly look</w:t>
      </w:r>
      <w:r w:rsidR="00504D2E">
        <w:t xml:space="preserve"> </w:t>
      </w:r>
      <w:r>
        <w:t>through exercise across layers of structures meanwhile risks producing inconsistent and incomplete results that would not materially enhance regulators’ ability to assess systemic risk.</w:t>
      </w:r>
    </w:p>
    <w:p w14:paraId="7331ECC0" w14:textId="582BCD11" w:rsidR="00361F66" w:rsidRDefault="00361F66" w:rsidP="00361F66">
      <w:r>
        <w:t>The better approach, in our view, is to rely on existing reporting at the level of the AIF’s primary exposures, supplemented by thematic or ad-hoc data collection exercises where necessary. Supervisors should avoid trying to capture full instrument-level data for every ultimate investment, and instead acknowledge that for certain structures (SPVs, subsidiaries, fund-of-funds) only partial transparency is feasible and proportionate.</w:t>
      </w:r>
      <w:r w:rsidR="00C60D55">
        <w:t xml:space="preserve"> We expand more on this below.</w:t>
      </w:r>
    </w:p>
    <w:p w14:paraId="7B9E7FC7" w14:textId="022A8848" w:rsidR="00361F66" w:rsidRDefault="00C60D55" w:rsidP="00361F66">
      <w:bookmarkStart w:id="16" w:name="_Hlk209177442"/>
      <w:r>
        <w:t xml:space="preserve">Another </w:t>
      </w:r>
      <w:r w:rsidR="00361F66">
        <w:t>equally important obstacle arises in the treatment of over-the-counter (OTC) derivatives. Even where an AIF directly holds an instrument, the reporting of “instrument-level data” is unlikely to be sufficient to convey the true risk of bespoke OTC contracts unless the reporting framework simultaneously specifies, in granular detail, the reference data elements that must accompany each instrument</w:t>
      </w:r>
      <w:bookmarkEnd w:id="16"/>
      <w:r w:rsidR="00361F66">
        <w:t>.</w:t>
      </w:r>
    </w:p>
    <w:p w14:paraId="0A98FE31" w14:textId="16C12CD8" w:rsidR="00361F66" w:rsidRDefault="00361F66" w:rsidP="00361F66">
      <w:r>
        <w:t>To illustrate</w:t>
      </w:r>
      <w:r w:rsidR="00C60D55">
        <w:t xml:space="preserve"> this point</w:t>
      </w:r>
      <w:r>
        <w:t>, consider an exotic option written on a basket of credit indices with path-dependent features. Simply reporting “option on credit index” as the instrument provides almost no supervisory insight. The regulator would need to know</w:t>
      </w:r>
      <w:r w:rsidR="00C60D55">
        <w:t xml:space="preserve"> the following:</w:t>
      </w:r>
    </w:p>
    <w:p w14:paraId="099A962C" w14:textId="77777777" w:rsidR="00C60D55" w:rsidRDefault="00361F66" w:rsidP="00361F66">
      <w:pPr>
        <w:pStyle w:val="ListParagraph"/>
        <w:numPr>
          <w:ilvl w:val="0"/>
          <w:numId w:val="43"/>
        </w:numPr>
      </w:pPr>
      <w:r>
        <w:t xml:space="preserve">The exact </w:t>
      </w:r>
      <w:proofErr w:type="spellStart"/>
      <w:r>
        <w:t>underlyings</w:t>
      </w:r>
      <w:proofErr w:type="spellEnd"/>
      <w:r>
        <w:t xml:space="preserve"> (indices, baskets, single names).</w:t>
      </w:r>
    </w:p>
    <w:p w14:paraId="07B09D28" w14:textId="77777777" w:rsidR="00C60D55" w:rsidRDefault="00361F66" w:rsidP="00361F66">
      <w:pPr>
        <w:pStyle w:val="ListParagraph"/>
        <w:numPr>
          <w:ilvl w:val="0"/>
          <w:numId w:val="43"/>
        </w:numPr>
      </w:pPr>
      <w:r>
        <w:t>The notional size and maturity.</w:t>
      </w:r>
    </w:p>
    <w:p w14:paraId="4872CE2A" w14:textId="77777777" w:rsidR="00C60D55" w:rsidRDefault="00361F66" w:rsidP="00361F66">
      <w:pPr>
        <w:pStyle w:val="ListParagraph"/>
        <w:numPr>
          <w:ilvl w:val="0"/>
          <w:numId w:val="43"/>
        </w:numPr>
      </w:pPr>
      <w:r>
        <w:t>The payoff profile (strike, barriers, leverage factors, etc.).</w:t>
      </w:r>
    </w:p>
    <w:p w14:paraId="4DE88E86" w14:textId="77777777" w:rsidR="00C60D55" w:rsidRDefault="00361F66" w:rsidP="00361F66">
      <w:pPr>
        <w:pStyle w:val="ListParagraph"/>
        <w:numPr>
          <w:ilvl w:val="0"/>
          <w:numId w:val="43"/>
        </w:numPr>
      </w:pPr>
      <w:r>
        <w:lastRenderedPageBreak/>
        <w:t>The counterparty and collateralisation terms.</w:t>
      </w:r>
    </w:p>
    <w:p w14:paraId="7189A818" w14:textId="37A84840" w:rsidR="00361F66" w:rsidRDefault="00361F66" w:rsidP="00361F66">
      <w:pPr>
        <w:pStyle w:val="ListParagraph"/>
        <w:numPr>
          <w:ilvl w:val="0"/>
          <w:numId w:val="43"/>
        </w:numPr>
      </w:pPr>
      <w:r>
        <w:t>The valuation methodology.</w:t>
      </w:r>
    </w:p>
    <w:p w14:paraId="49028679" w14:textId="030F6159" w:rsidR="00361F66" w:rsidRDefault="00361F66" w:rsidP="00361F66">
      <w:r>
        <w:t xml:space="preserve">Without this detail, the supervisory picture remains opaque. </w:t>
      </w:r>
      <w:r w:rsidR="00C60D55">
        <w:t>If</w:t>
      </w:r>
      <w:r>
        <w:t xml:space="preserve"> ESMA </w:t>
      </w:r>
      <w:r w:rsidR="00C60D55">
        <w:t>were to</w:t>
      </w:r>
      <w:r>
        <w:t xml:space="preserve"> attempt to prescribe a reference data taxonomy sufficiently rich to capture such instruments, </w:t>
      </w:r>
      <w:r w:rsidR="00C60D55">
        <w:t xml:space="preserve">we fear that </w:t>
      </w:r>
      <w:r>
        <w:t>the system quickly becomes unmanageable</w:t>
      </w:r>
      <w:r w:rsidR="00C60D55">
        <w:t xml:space="preserve"> for the following reasons</w:t>
      </w:r>
      <w:r>
        <w:t>.</w:t>
      </w:r>
    </w:p>
    <w:p w14:paraId="00ED9D36" w14:textId="690C9847" w:rsidR="00361F66" w:rsidRDefault="00361F66" w:rsidP="006564A5">
      <w:pPr>
        <w:pStyle w:val="ListParagraph"/>
        <w:numPr>
          <w:ilvl w:val="0"/>
          <w:numId w:val="44"/>
        </w:numPr>
      </w:pPr>
      <w:r w:rsidRPr="001C2BFE">
        <w:rPr>
          <w:u w:val="single"/>
        </w:rPr>
        <w:t>Multiplicity of contract types</w:t>
      </w:r>
      <w:r w:rsidR="00C60D55">
        <w:t>:</w:t>
      </w:r>
      <w:r>
        <w:t xml:space="preserve"> The OTC derivatives market is characterised by constant innovation. New structures are regularly developed to meet client or hedging needs. Any static taxonomy of reference data will </w:t>
      </w:r>
      <w:r w:rsidR="00C60D55">
        <w:t xml:space="preserve">likely </w:t>
      </w:r>
      <w:r>
        <w:t xml:space="preserve">be out of date </w:t>
      </w:r>
      <w:r w:rsidR="00C60D55">
        <w:t>soon after</w:t>
      </w:r>
      <w:r>
        <w:t xml:space="preserve"> it is published, leaving gaps in coverage and ambiguity in reporting.</w:t>
      </w:r>
    </w:p>
    <w:p w14:paraId="2EBBA3EC" w14:textId="77777777" w:rsidR="00C60D55" w:rsidRDefault="00C60D55" w:rsidP="00C60D55">
      <w:pPr>
        <w:pStyle w:val="ListParagraph"/>
      </w:pPr>
    </w:p>
    <w:p w14:paraId="36B4DE82" w14:textId="7A1E61DC" w:rsidR="00361F66" w:rsidRDefault="00361F66" w:rsidP="00131DF2">
      <w:pPr>
        <w:pStyle w:val="ListParagraph"/>
        <w:numPr>
          <w:ilvl w:val="0"/>
          <w:numId w:val="44"/>
        </w:numPr>
      </w:pPr>
      <w:r w:rsidRPr="001C2BFE">
        <w:rPr>
          <w:u w:val="single"/>
        </w:rPr>
        <w:t>Overlaps with existing reporting regimes</w:t>
      </w:r>
      <w:r w:rsidR="00C60D55">
        <w:t>:</w:t>
      </w:r>
      <w:r>
        <w:t xml:space="preserve"> Detailed transaction and reference data for derivatives are already reported under EMIR and </w:t>
      </w:r>
      <w:proofErr w:type="spellStart"/>
      <w:r>
        <w:t>MiFIR</w:t>
      </w:r>
      <w:proofErr w:type="spellEnd"/>
      <w:r>
        <w:t>. Imposing a parallel requirement under AIFMD risks duplication, inconsistency, and reconciliation challenges. It is unclear how the new reporting would interact with existing repositories of derivatives data and whether supervisors would have the capacity to reconcile the different streams.</w:t>
      </w:r>
    </w:p>
    <w:p w14:paraId="587E6693" w14:textId="77777777" w:rsidR="00C60D55" w:rsidRDefault="00C60D55" w:rsidP="00C60D55">
      <w:pPr>
        <w:pStyle w:val="ListParagraph"/>
      </w:pPr>
    </w:p>
    <w:p w14:paraId="53C8FC6A" w14:textId="7C648669" w:rsidR="00361F66" w:rsidRDefault="00361F66" w:rsidP="00911F65">
      <w:pPr>
        <w:pStyle w:val="ListParagraph"/>
        <w:numPr>
          <w:ilvl w:val="0"/>
          <w:numId w:val="44"/>
        </w:numPr>
      </w:pPr>
      <w:r w:rsidRPr="001C2BFE">
        <w:rPr>
          <w:u w:val="single"/>
        </w:rPr>
        <w:t>Bureaucratic complexity</w:t>
      </w:r>
      <w:r w:rsidR="00C60D55">
        <w:t>:</w:t>
      </w:r>
      <w:r>
        <w:t xml:space="preserve"> To cover every relevant risk element of an OTC derivative, ESMA would need to mandate the reporting of dozens</w:t>
      </w:r>
      <w:r w:rsidR="00353B20">
        <w:t xml:space="preserve">, </w:t>
      </w:r>
      <w:r>
        <w:t>if not hundreds</w:t>
      </w:r>
      <w:r w:rsidR="00353B20">
        <w:t xml:space="preserve">, </w:t>
      </w:r>
      <w:r>
        <w:t>of data fields. This would turn AIFMD reporting into a second EMIR, with managers forced to duplicate systems development and operational resources. For smaller managers, this would be particularly disproportionate and would act as a barrier to entry.</w:t>
      </w:r>
    </w:p>
    <w:p w14:paraId="3B3CDC83" w14:textId="69577877" w:rsidR="003A5ABC" w:rsidRDefault="00361F66" w:rsidP="00361F66">
      <w:r>
        <w:t>In the absence of extremely detailed and burdensome reference data requirements, reporting of OTC derivative “instruments” at the AIF level would produce incomplete and misleading information. Yet if ESMA attempts to create such requirements, the reporting burden would quickly become disproportionate and duplicative. This tension suggests that the instrument-level approach is fundamentally ill-suited for OTC derivatives within AIFMD reporting.</w:t>
      </w:r>
    </w:p>
    <w:p w14:paraId="56F8323E" w14:textId="7499B0FF" w:rsidR="00361F66" w:rsidRDefault="007009C5" w:rsidP="00361F66">
      <w:r>
        <w:t>Lastly, d</w:t>
      </w:r>
      <w:r w:rsidRPr="007009C5">
        <w:t xml:space="preserve">igital-asset strategies introduce an additional, distinct layer of complexity that standard ISIN-centric templates cannot absorb. </w:t>
      </w:r>
      <w:r w:rsidR="00F37884">
        <w:t>Looking simply at</w:t>
      </w:r>
      <w:r w:rsidRPr="007009C5">
        <w:t xml:space="preserve"> identification</w:t>
      </w:r>
      <w:r w:rsidR="00F37884">
        <w:t xml:space="preserve"> - i</w:t>
      </w:r>
      <w:r w:rsidRPr="007009C5">
        <w:t xml:space="preserve">n the EU, </w:t>
      </w:r>
      <w:r w:rsidR="00F37884">
        <w:t>the Markets in Crypto-Assets Regulation (</w:t>
      </w:r>
      <w:proofErr w:type="spellStart"/>
      <w:r w:rsidRPr="007009C5">
        <w:t>MiCA</w:t>
      </w:r>
      <w:proofErr w:type="spellEnd"/>
      <w:r w:rsidR="00F37884">
        <w:t>)</w:t>
      </w:r>
      <w:r w:rsidRPr="007009C5">
        <w:t xml:space="preserve"> </w:t>
      </w:r>
      <w:r w:rsidR="00F37884">
        <w:t>builds</w:t>
      </w:r>
      <w:r w:rsidRPr="007009C5">
        <w:t xml:space="preserve"> a regulatory perimeter for crypto-assets and ESMA has moved toward using the ISO 24165 Digital Token Identifier (DTI) to uniquely tag tokens. </w:t>
      </w:r>
      <w:r w:rsidR="00F37884">
        <w:t>While we welcome this</w:t>
      </w:r>
      <w:r w:rsidRPr="007009C5">
        <w:t xml:space="preserve"> progress</w:t>
      </w:r>
      <w:r w:rsidR="00F37884">
        <w:t xml:space="preserve">, </w:t>
      </w:r>
      <w:r w:rsidRPr="007009C5">
        <w:t>it does not solve several structural issues that matter for AIF reporting.</w:t>
      </w:r>
    </w:p>
    <w:p w14:paraId="676A3A40" w14:textId="391DE89E" w:rsidR="00F37884" w:rsidRDefault="00F37884" w:rsidP="00361F66">
      <w:r>
        <w:t>There may be m</w:t>
      </w:r>
      <w:r w:rsidRPr="00F37884">
        <w:t>ultiple wrappers per exposure</w:t>
      </w:r>
      <w:r>
        <w:t xml:space="preserve"> for example</w:t>
      </w:r>
      <w:r w:rsidRPr="00F37884">
        <w:t xml:space="preserve">. A single economic exposure might manifest as a native token (with a DTI), a wrapped version on another chain, a staked receipt token, and a liquidity-pool (LP) position that itself issues a claim on a basket of assets. Each leg might have (or lack) a distinct identifier; bridges can introduce synthetic assets; and protocol upgrades can change contract addresses. Without a supervisory mapping between native assets, </w:t>
      </w:r>
      <w:r w:rsidRPr="00F37884">
        <w:lastRenderedPageBreak/>
        <w:t>wrapped tokens, and derivative receipts, “instrument-level” snapshots risk double-counting or missing material links.</w:t>
      </w:r>
    </w:p>
    <w:p w14:paraId="41FB2F1E" w14:textId="09A55EA0" w:rsidR="002D5BD8" w:rsidRDefault="003A5ABC" w:rsidP="005666D3">
      <w:r>
        <w:t>As a solution</w:t>
      </w:r>
      <w:r w:rsidR="00B560FF">
        <w:t xml:space="preserve"> to these issues</w:t>
      </w:r>
      <w:r>
        <w:t xml:space="preserve">, </w:t>
      </w:r>
      <w:r w:rsidR="001B649A" w:rsidRPr="001B649A">
        <w:t>AIMA is of the view that the best approach to achieving a simplified, yet robust, framework is to develop a template which eliminates fields with limited systemic risk value, while emphasi</w:t>
      </w:r>
      <w:r w:rsidR="00D0515F">
        <w:t>s</w:t>
      </w:r>
      <w:r w:rsidR="001B649A" w:rsidRPr="001B649A">
        <w:t xml:space="preserve">ing meaningful data points regarding exposures, liquidity positioning and risk metrics.  </w:t>
      </w:r>
      <w:r w:rsidR="002D5BD8">
        <w:t>As already discussed in our response to question 9, AIMA has developed a framework for what the key information required for systemic risk monitoring is.</w:t>
      </w:r>
    </w:p>
    <w:p w14:paraId="0A096E3E" w14:textId="67384D0F" w:rsidR="00711FD5" w:rsidRPr="00711FD5" w:rsidRDefault="00FA5274" w:rsidP="00E84B2D">
      <w:pPr>
        <w:rPr>
          <w:lang w:val="en-US"/>
        </w:rPr>
      </w:pPr>
      <w:r>
        <w:rPr>
          <w:lang w:val="en-US"/>
        </w:rPr>
        <w:t xml:space="preserve">As part of </w:t>
      </w:r>
      <w:r w:rsidR="00E84B2D">
        <w:rPr>
          <w:lang w:val="en-US"/>
        </w:rPr>
        <w:t xml:space="preserve">such a framework, there should be meaningful context given </w:t>
      </w:r>
      <w:r w:rsidR="00711FD5" w:rsidRPr="00711FD5">
        <w:rPr>
          <w:lang w:val="en-US"/>
        </w:rPr>
        <w:t>to the asset class information</w:t>
      </w:r>
      <w:r w:rsidR="00E84B2D">
        <w:rPr>
          <w:lang w:val="en-US"/>
        </w:rPr>
        <w:t>. R</w:t>
      </w:r>
      <w:r w:rsidR="00711FD5" w:rsidRPr="00711FD5">
        <w:rPr>
          <w:lang w:val="en-US"/>
        </w:rPr>
        <w:t xml:space="preserve">egulators should collect some broad strategy information, asking </w:t>
      </w:r>
      <w:r w:rsidR="00BE150F">
        <w:rPr>
          <w:lang w:val="en-US"/>
        </w:rPr>
        <w:t xml:space="preserve">fund </w:t>
      </w:r>
      <w:r w:rsidR="00711FD5" w:rsidRPr="00711FD5">
        <w:rPr>
          <w:lang w:val="en-US"/>
        </w:rPr>
        <w:t>manager to select appropriate primary and secondary strategies applicable to each fund</w:t>
      </w:r>
      <w:r w:rsidR="00BE150F">
        <w:rPr>
          <w:lang w:val="en-US"/>
        </w:rPr>
        <w:t xml:space="preserve">. This could include the following: </w:t>
      </w:r>
    </w:p>
    <w:p w14:paraId="0A62C780" w14:textId="77777777" w:rsidR="0039783C" w:rsidRDefault="00711FD5" w:rsidP="00711FD5">
      <w:pPr>
        <w:pStyle w:val="ListParagraph"/>
        <w:numPr>
          <w:ilvl w:val="0"/>
          <w:numId w:val="44"/>
        </w:numPr>
        <w:rPr>
          <w:lang w:val="en-US"/>
        </w:rPr>
      </w:pPr>
      <w:r w:rsidRPr="0039783C">
        <w:rPr>
          <w:lang w:val="en-US"/>
        </w:rPr>
        <w:t>Equity long/short;</w:t>
      </w:r>
    </w:p>
    <w:p w14:paraId="096EC190" w14:textId="77777777" w:rsidR="0039783C" w:rsidRDefault="00711FD5" w:rsidP="00711FD5">
      <w:pPr>
        <w:pStyle w:val="ListParagraph"/>
        <w:numPr>
          <w:ilvl w:val="0"/>
          <w:numId w:val="44"/>
        </w:numPr>
        <w:rPr>
          <w:lang w:val="en-US"/>
        </w:rPr>
      </w:pPr>
      <w:r w:rsidRPr="0039783C">
        <w:rPr>
          <w:lang w:val="en-US"/>
        </w:rPr>
        <w:t>Macro;</w:t>
      </w:r>
    </w:p>
    <w:p w14:paraId="2ED7A95F" w14:textId="77777777" w:rsidR="0039783C" w:rsidRDefault="00711FD5" w:rsidP="00711FD5">
      <w:pPr>
        <w:pStyle w:val="ListParagraph"/>
        <w:numPr>
          <w:ilvl w:val="0"/>
          <w:numId w:val="44"/>
        </w:numPr>
        <w:rPr>
          <w:lang w:val="en-US"/>
        </w:rPr>
      </w:pPr>
      <w:r w:rsidRPr="0039783C">
        <w:rPr>
          <w:lang w:val="en-US"/>
        </w:rPr>
        <w:t>Credit;</w:t>
      </w:r>
    </w:p>
    <w:p w14:paraId="136F669E" w14:textId="77777777" w:rsidR="0039783C" w:rsidRDefault="00711FD5" w:rsidP="00711FD5">
      <w:pPr>
        <w:pStyle w:val="ListParagraph"/>
        <w:numPr>
          <w:ilvl w:val="0"/>
          <w:numId w:val="44"/>
        </w:numPr>
        <w:rPr>
          <w:lang w:val="en-US"/>
        </w:rPr>
      </w:pPr>
      <w:r w:rsidRPr="0039783C">
        <w:rPr>
          <w:lang w:val="en-US"/>
        </w:rPr>
        <w:t>Quantitative/systematic;</w:t>
      </w:r>
    </w:p>
    <w:p w14:paraId="7B57C416" w14:textId="77777777" w:rsidR="0039783C" w:rsidRDefault="00711FD5" w:rsidP="00711FD5">
      <w:pPr>
        <w:pStyle w:val="ListParagraph"/>
        <w:numPr>
          <w:ilvl w:val="0"/>
          <w:numId w:val="44"/>
        </w:numPr>
        <w:rPr>
          <w:lang w:val="en-US"/>
        </w:rPr>
      </w:pPr>
      <w:r w:rsidRPr="0039783C">
        <w:rPr>
          <w:lang w:val="en-US"/>
        </w:rPr>
        <w:t>Event driven;</w:t>
      </w:r>
    </w:p>
    <w:p w14:paraId="627E71FD" w14:textId="77777777" w:rsidR="0039783C" w:rsidRDefault="00711FD5" w:rsidP="005666D3">
      <w:pPr>
        <w:pStyle w:val="ListParagraph"/>
        <w:numPr>
          <w:ilvl w:val="0"/>
          <w:numId w:val="44"/>
        </w:numPr>
        <w:rPr>
          <w:lang w:val="en-US"/>
        </w:rPr>
      </w:pPr>
      <w:r w:rsidRPr="0039783C">
        <w:rPr>
          <w:lang w:val="en-US"/>
        </w:rPr>
        <w:t>Multi-strategy; and</w:t>
      </w:r>
    </w:p>
    <w:p w14:paraId="06199555" w14:textId="6FB3DEFD" w:rsidR="00711FD5" w:rsidRPr="0039783C" w:rsidRDefault="00711FD5" w:rsidP="005666D3">
      <w:pPr>
        <w:pStyle w:val="ListParagraph"/>
        <w:numPr>
          <w:ilvl w:val="0"/>
          <w:numId w:val="44"/>
        </w:numPr>
        <w:rPr>
          <w:lang w:val="en-US"/>
        </w:rPr>
      </w:pPr>
      <w:r w:rsidRPr="0039783C">
        <w:rPr>
          <w:lang w:val="en-US"/>
        </w:rPr>
        <w:t>Other (specify).</w:t>
      </w:r>
    </w:p>
    <w:p w14:paraId="357C6493" w14:textId="208561AB" w:rsidR="00C65886" w:rsidRDefault="00C65886" w:rsidP="005666D3">
      <w:r>
        <w:t>We provide more details on our proposal below under Question</w:t>
      </w:r>
      <w:r w:rsidR="00BB2931">
        <w:t>s</w:t>
      </w:r>
      <w:r>
        <w:t xml:space="preserve"> 19</w:t>
      </w:r>
      <w:r w:rsidR="00BB2931">
        <w:t xml:space="preserve"> and 24</w:t>
      </w:r>
      <w:r>
        <w:t>.</w:t>
      </w:r>
    </w:p>
    <w:permEnd w:id="484980599"/>
    <w:p w14:paraId="65D115B7" w14:textId="77777777" w:rsidR="00F21CF0" w:rsidRDefault="00F21CF0" w:rsidP="00F21CF0">
      <w:r>
        <w:t>&lt;ESMA_QUESTION_ICFD_16&gt;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t>&lt;ESMA_QUESTION_ICFD_17&gt;</w:t>
      </w:r>
    </w:p>
    <w:p w14:paraId="060357B6" w14:textId="77777777" w:rsidR="00F21CF0" w:rsidRDefault="00F21CF0" w:rsidP="00F21CF0">
      <w:permStart w:id="818029234" w:edGrp="everyone"/>
      <w:r>
        <w:t>TYPE YOUR TEXT HERE</w:t>
      </w:r>
    </w:p>
    <w:permEnd w:id="818029234"/>
    <w:p w14:paraId="4948921F" w14:textId="77777777"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lastRenderedPageBreak/>
        <w:t>&lt;ESMA_QUESTION_ICFD_18&gt;</w:t>
      </w:r>
    </w:p>
    <w:p w14:paraId="6CA311FB" w14:textId="0F847EFB" w:rsidR="00F21CF0" w:rsidRDefault="00092305" w:rsidP="00F21CF0">
      <w:permStart w:id="1812282010" w:edGrp="everyone"/>
      <w:r>
        <w:t>No, for the reasons we outlined earlier, in particular our answer to Question 16.</w:t>
      </w:r>
    </w:p>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0B55004D" w14:textId="79ECD82D" w:rsidR="00186777" w:rsidRDefault="00186777" w:rsidP="004A3768">
      <w:permStart w:id="1815633304" w:edGrp="everyone"/>
      <w:r>
        <w:t xml:space="preserve">As we outline in our answer to Question 16 above, </w:t>
      </w:r>
      <w:r w:rsidR="004307C3" w:rsidRPr="004307C3">
        <w:t>AIMA has developed a framework for what the key information required for systemic risk monitoring is</w:t>
      </w:r>
      <w:r>
        <w:t>.</w:t>
      </w:r>
      <w:r w:rsidR="004A3768">
        <w:t xml:space="preserve"> We outline above the need for </w:t>
      </w:r>
      <w:r>
        <w:t>meaningful context given to the asset class information. Regulators should collect some broad strategy information, asking fund manager to select appropriate primary and secondary strategies applicable to each fund</w:t>
      </w:r>
      <w:r w:rsidR="004A3768">
        <w:t>.</w:t>
      </w:r>
    </w:p>
    <w:p w14:paraId="523E1A2C" w14:textId="7157F06F" w:rsidR="00CE2D9B" w:rsidRDefault="004A3768" w:rsidP="004A3768">
      <w:r>
        <w:t xml:space="preserve">In addition, </w:t>
      </w:r>
      <w:r w:rsidR="00CE2D9B">
        <w:t xml:space="preserve">exposure should be reported in various slices. </w:t>
      </w:r>
      <w:r w:rsidR="00716A0B">
        <w:t>F</w:t>
      </w:r>
      <w:r w:rsidR="00CE2D9B">
        <w:t xml:space="preserve">und-level data points </w:t>
      </w:r>
      <w:r w:rsidR="00716A0B">
        <w:t>should include the following:</w:t>
      </w:r>
    </w:p>
    <w:p w14:paraId="337EF116" w14:textId="77777777" w:rsidR="00CE2D9B" w:rsidRDefault="00CE2D9B" w:rsidP="00B14847">
      <w:pPr>
        <w:ind w:left="709"/>
      </w:pPr>
      <w:r>
        <w:t>1.</w:t>
      </w:r>
      <w:r>
        <w:tab/>
        <w:t>The absolute value of all long positions;</w:t>
      </w:r>
    </w:p>
    <w:p w14:paraId="27F3B06F" w14:textId="77777777" w:rsidR="00CE2D9B" w:rsidRDefault="00CE2D9B" w:rsidP="00B14847">
      <w:pPr>
        <w:ind w:left="709"/>
      </w:pPr>
      <w:r>
        <w:t>2.</w:t>
      </w:r>
      <w:r>
        <w:tab/>
        <w:t>The absolute value of all short positions;</w:t>
      </w:r>
    </w:p>
    <w:p w14:paraId="4AC46B30" w14:textId="77777777" w:rsidR="00CE2D9B" w:rsidRDefault="00CE2D9B" w:rsidP="00B14847">
      <w:pPr>
        <w:ind w:left="709"/>
      </w:pPr>
      <w:r>
        <w:t>3.</w:t>
      </w:r>
      <w:r>
        <w:tab/>
        <w:t>The net absolute value of all positions;</w:t>
      </w:r>
    </w:p>
    <w:p w14:paraId="6C50FA9C" w14:textId="77777777" w:rsidR="00CE2D9B" w:rsidRDefault="00CE2D9B" w:rsidP="00B14847">
      <w:pPr>
        <w:ind w:left="709"/>
      </w:pPr>
      <w:r>
        <w:t>4.</w:t>
      </w:r>
      <w:r>
        <w:tab/>
        <w:t>The absolute value of all long positions multiplied by any relevant adjustment factor;</w:t>
      </w:r>
    </w:p>
    <w:p w14:paraId="79AB1B45" w14:textId="77777777" w:rsidR="00CE2D9B" w:rsidRDefault="00CE2D9B" w:rsidP="00B14847">
      <w:pPr>
        <w:ind w:left="709"/>
      </w:pPr>
      <w:r>
        <w:t>5.</w:t>
      </w:r>
      <w:r>
        <w:tab/>
        <w:t>The absolute value of all short positions multiplied by any relevant adjustment factor; and</w:t>
      </w:r>
    </w:p>
    <w:p w14:paraId="560069F9" w14:textId="77777777" w:rsidR="00CE2D9B" w:rsidRDefault="00CE2D9B" w:rsidP="00B14847">
      <w:pPr>
        <w:ind w:left="709"/>
      </w:pPr>
      <w:r>
        <w:t>6.</w:t>
      </w:r>
      <w:r>
        <w:tab/>
        <w:t>The net of the adjusted long and short exposures.</w:t>
      </w:r>
    </w:p>
    <w:p w14:paraId="2FE749FF" w14:textId="1C29FF07" w:rsidR="00B14847" w:rsidRPr="00B14847" w:rsidRDefault="00B14847" w:rsidP="00B14847">
      <w:r w:rsidRPr="00B14847">
        <w:t>The relevant sub-categories for each type of exposure could be as</w:t>
      </w:r>
      <w:r>
        <w:t xml:space="preserve"> follows</w:t>
      </w:r>
      <w:r w:rsidRPr="00B14847">
        <w:t>:</w:t>
      </w:r>
    </w:p>
    <w:p w14:paraId="570E87FD" w14:textId="6A9B594A" w:rsidR="00B14847" w:rsidRPr="006B0C14" w:rsidRDefault="00B14847" w:rsidP="00B14847">
      <w:pPr>
        <w:numPr>
          <w:ilvl w:val="0"/>
          <w:numId w:val="38"/>
        </w:numPr>
        <w:tabs>
          <w:tab w:val="num" w:pos="735"/>
        </w:tabs>
      </w:pPr>
      <w:r w:rsidRPr="006B0C14">
        <w:t xml:space="preserve">Asset class/instrument type exposure, preferably broken down in categories aligned with a market-based solution such as Open Protocol and, in all events, aligned internationally to aid comparability.  </w:t>
      </w:r>
    </w:p>
    <w:p w14:paraId="6383D245" w14:textId="2F7A6645" w:rsidR="00B14847" w:rsidRPr="006B0C14" w:rsidRDefault="00B14847" w:rsidP="00B14847">
      <w:pPr>
        <w:numPr>
          <w:ilvl w:val="0"/>
          <w:numId w:val="38"/>
        </w:numPr>
        <w:tabs>
          <w:tab w:val="num" w:pos="735"/>
        </w:tabs>
      </w:pPr>
      <w:r w:rsidRPr="006B0C14">
        <w:t>Country exposure based on the ISO country classifications for the country of risk;</w:t>
      </w:r>
    </w:p>
    <w:p w14:paraId="53268758" w14:textId="3A367B85" w:rsidR="00B14847" w:rsidRPr="006B0C14" w:rsidRDefault="00B14847" w:rsidP="00B14847">
      <w:pPr>
        <w:numPr>
          <w:ilvl w:val="0"/>
          <w:numId w:val="38"/>
        </w:numPr>
        <w:tabs>
          <w:tab w:val="num" w:pos="735"/>
        </w:tabs>
      </w:pPr>
      <w:r w:rsidRPr="006B0C14">
        <w:t>Currency exposure;</w:t>
      </w:r>
    </w:p>
    <w:p w14:paraId="0823127D" w14:textId="7CA781B0" w:rsidR="00B14847" w:rsidRPr="006B0C14" w:rsidRDefault="00B14847" w:rsidP="00B14847">
      <w:pPr>
        <w:numPr>
          <w:ilvl w:val="0"/>
          <w:numId w:val="38"/>
        </w:numPr>
        <w:tabs>
          <w:tab w:val="num" w:pos="735"/>
        </w:tabs>
      </w:pPr>
      <w:r w:rsidRPr="006B0C14">
        <w:lastRenderedPageBreak/>
        <w:t xml:space="preserve">Industry/sectors exposure </w:t>
      </w:r>
      <w:r w:rsidRPr="006B0C14">
        <w:rPr>
          <w:lang w:val="en-US"/>
        </w:rPr>
        <w:t>based on the G</w:t>
      </w:r>
      <w:r w:rsidRPr="006B0C14">
        <w:t>ICS Sector level classification</w:t>
      </w:r>
      <w:r w:rsidR="00184712">
        <w:t>; and</w:t>
      </w:r>
    </w:p>
    <w:p w14:paraId="4488FEE1" w14:textId="341F6F98" w:rsidR="00B14847" w:rsidRPr="006B0C14" w:rsidRDefault="00B14847" w:rsidP="00B14847">
      <w:pPr>
        <w:numPr>
          <w:ilvl w:val="0"/>
          <w:numId w:val="38"/>
        </w:numPr>
        <w:tabs>
          <w:tab w:val="num" w:pos="735"/>
        </w:tabs>
        <w:rPr>
          <w:lang w:val="en-US"/>
        </w:rPr>
      </w:pPr>
      <w:r w:rsidRPr="006B0C14">
        <w:rPr>
          <w:lang w:val="en-US"/>
        </w:rPr>
        <w:t xml:space="preserve">Market </w:t>
      </w:r>
      <w:proofErr w:type="spellStart"/>
      <w:r w:rsidRPr="006B0C14">
        <w:rPr>
          <w:lang w:val="en-US"/>
        </w:rPr>
        <w:t>capitali</w:t>
      </w:r>
      <w:r w:rsidR="00D0515F">
        <w:rPr>
          <w:lang w:val="en-US"/>
        </w:rPr>
        <w:t>s</w:t>
      </w:r>
      <w:r w:rsidRPr="006B0C14">
        <w:rPr>
          <w:lang w:val="en-US"/>
        </w:rPr>
        <w:t>ation</w:t>
      </w:r>
      <w:proofErr w:type="spellEnd"/>
      <w:r w:rsidRPr="006B0C14">
        <w:rPr>
          <w:lang w:val="en-US"/>
        </w:rPr>
        <w:t xml:space="preserve"> exposure</w:t>
      </w:r>
      <w:r w:rsidR="00EA1291">
        <w:rPr>
          <w:lang w:val="en-US"/>
        </w:rPr>
        <w:t>.</w:t>
      </w:r>
    </w:p>
    <w:p w14:paraId="004856BA" w14:textId="77777777" w:rsidR="006B0C14" w:rsidRDefault="00B14847" w:rsidP="00F21CF0">
      <w:r w:rsidRPr="00B14847">
        <w:t xml:space="preserve">Another key risk area for focus in these quarterly reports is around counterparty exposures.  Some basic information updated quarterly plus the related current reporting should be sufficient for systemic risk identification and monitoring purposes. </w:t>
      </w:r>
    </w:p>
    <w:p w14:paraId="124FE48B" w14:textId="4127447C" w:rsidR="00EA1291" w:rsidRDefault="00EA1291" w:rsidP="00F21CF0">
      <w:r>
        <w:t>Importantly, we would encourage all of these identifiers to be developed in a manner allowing international consistency and comparability allowing for real identification and monitoring of systemic risk globally.</w:t>
      </w:r>
    </w:p>
    <w:permEnd w:id="1815633304"/>
    <w:p w14:paraId="353C390F" w14:textId="425D59EE"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2CFF51EF" w14:textId="260FD6EC" w:rsidR="00AD32E0" w:rsidRPr="00BA3AED" w:rsidRDefault="00AD32E0" w:rsidP="00277FA2">
      <w:pPr>
        <w:rPr>
          <w:szCs w:val="22"/>
        </w:rPr>
      </w:pPr>
      <w:permStart w:id="1492545028" w:edGrp="everyone"/>
      <w:r w:rsidRPr="00BA3AED">
        <w:rPr>
          <w:szCs w:val="22"/>
        </w:rPr>
        <w:t>The frequency of filings and the filing deadlines for Annex IV Reports are a complex combination of the size and nature of the A</w:t>
      </w:r>
      <w:r w:rsidR="00FF703B">
        <w:rPr>
          <w:rFonts w:eastAsia="Arial"/>
          <w:szCs w:val="22"/>
        </w:rPr>
        <w:t>I</w:t>
      </w:r>
      <w:r w:rsidRPr="00BA3AED">
        <w:rPr>
          <w:szCs w:val="22"/>
        </w:rPr>
        <w:t>FM’s entire portfolio of AIFs, as well as the size of the individual AIFs, where those AIFs were established, where the AIFs are marketed, whether any of the AIFs utilises leverage and the strategy the AIFs are pursuing.</w:t>
      </w:r>
      <w:r w:rsidR="00F83378">
        <w:rPr>
          <w:szCs w:val="22"/>
        </w:rPr>
        <w:t xml:space="preserve"> </w:t>
      </w:r>
      <w:r w:rsidR="00F83378" w:rsidRPr="00F83378">
        <w:rPr>
          <w:szCs w:val="22"/>
        </w:rPr>
        <w:t>Making these reporting frequencies uniform and significantly more frequent than currently will exponentially magnify burdens</w:t>
      </w:r>
      <w:r w:rsidR="002C220B">
        <w:rPr>
          <w:szCs w:val="22"/>
        </w:rPr>
        <w:t>.</w:t>
      </w:r>
    </w:p>
    <w:p w14:paraId="7448A979" w14:textId="77777777" w:rsidR="00AD32E0" w:rsidRPr="00BA3AED" w:rsidRDefault="00AD32E0" w:rsidP="00277FA2">
      <w:pPr>
        <w:rPr>
          <w:szCs w:val="22"/>
        </w:rPr>
      </w:pPr>
      <w:r w:rsidRPr="00BA3AED">
        <w:rPr>
          <w:szCs w:val="22"/>
        </w:rPr>
        <w:t xml:space="preserve">While large AIFMs have been able to automate many of their processes for collecting Annex IV data, they still must spend significant time reviewing data and preparing responses. This is in part due to the format of questions and responses in Annex IV which require a high degree of precision and calculation. </w:t>
      </w:r>
    </w:p>
    <w:p w14:paraId="1DD29B1F" w14:textId="14FC7B0D" w:rsidR="00AD32E0" w:rsidRDefault="00AD32E0" w:rsidP="00277FA2">
      <w:pPr>
        <w:rPr>
          <w:szCs w:val="22"/>
        </w:rPr>
      </w:pPr>
      <w:r w:rsidRPr="00BA3AED">
        <w:rPr>
          <w:szCs w:val="22"/>
        </w:rPr>
        <w:t>To significantly reduce unwarranted costs associated with Annex IV reporting for the substantial number of AIFMs who are currently required to file and report on a quarterly basis, AIMA recommends that the</w:t>
      </w:r>
      <w:r w:rsidR="00FF703B">
        <w:rPr>
          <w:szCs w:val="22"/>
        </w:rPr>
        <w:t xml:space="preserve"> new framework</w:t>
      </w:r>
      <w:r w:rsidRPr="00BA3AED">
        <w:rPr>
          <w:szCs w:val="22"/>
        </w:rPr>
        <w:t xml:space="preserve"> should only require AIFMs to file their Annex IV report on a maximum </w:t>
      </w:r>
      <w:r w:rsidR="002C220B">
        <w:rPr>
          <w:szCs w:val="22"/>
        </w:rPr>
        <w:t>quarterly</w:t>
      </w:r>
      <w:r w:rsidRPr="00BA3AED">
        <w:rPr>
          <w:szCs w:val="22"/>
        </w:rPr>
        <w:t xml:space="preserve"> basis to reduce the amount of often superfluous data collected under current requirements.</w:t>
      </w:r>
      <w:r w:rsidR="007963AD">
        <w:rPr>
          <w:szCs w:val="22"/>
        </w:rPr>
        <w:t xml:space="preserve"> This is also important to avoid associated problems for funds which do not strike a monthly NAV, as explained below.</w:t>
      </w:r>
    </w:p>
    <w:p w14:paraId="1455B587" w14:textId="4BC896DE" w:rsidR="00AD32E0" w:rsidRPr="00FF703B" w:rsidRDefault="00AD32E0" w:rsidP="00277FA2">
      <w:pPr>
        <w:rPr>
          <w:szCs w:val="22"/>
        </w:rPr>
      </w:pPr>
      <w:r w:rsidRPr="00FF703B">
        <w:rPr>
          <w:szCs w:val="22"/>
        </w:rPr>
        <w:t>Currently, AIFMs who are either managing a portfolio of A</w:t>
      </w:r>
      <w:r w:rsidR="00FF703B">
        <w:rPr>
          <w:rFonts w:eastAsia="Arial"/>
          <w:szCs w:val="22"/>
        </w:rPr>
        <w:t>I</w:t>
      </w:r>
      <w:r w:rsidRPr="00FF703B">
        <w:rPr>
          <w:szCs w:val="22"/>
        </w:rPr>
        <w:t xml:space="preserve">Fs in excess of </w:t>
      </w:r>
      <w:r w:rsidR="00FF703B">
        <w:rPr>
          <w:rFonts w:eastAsia="Arial"/>
          <w:szCs w:val="22"/>
        </w:rPr>
        <w:t>€</w:t>
      </w:r>
      <w:r w:rsidRPr="00FF703B">
        <w:rPr>
          <w:szCs w:val="22"/>
        </w:rPr>
        <w:t xml:space="preserve">1bn assets under management (AUM) or for each AIF whose AUM, including any assets acquired through use of </w:t>
      </w:r>
      <w:r w:rsidRPr="00FF703B">
        <w:rPr>
          <w:szCs w:val="22"/>
        </w:rPr>
        <w:lastRenderedPageBreak/>
        <w:t xml:space="preserve">leverage, in total exceed </w:t>
      </w:r>
      <w:r w:rsidR="00FF703B">
        <w:rPr>
          <w:rFonts w:eastAsia="Arial"/>
          <w:szCs w:val="22"/>
        </w:rPr>
        <w:t>€</w:t>
      </w:r>
      <w:r w:rsidRPr="00FF703B">
        <w:rPr>
          <w:szCs w:val="22"/>
        </w:rPr>
        <w:t xml:space="preserve">500mn, are required to report on a quarterly basis under the terms of Article 110(3)(b)-(c). </w:t>
      </w:r>
    </w:p>
    <w:p w14:paraId="5E1D30FB" w14:textId="3AD55A63" w:rsidR="00AD32E0" w:rsidRPr="00FF703B" w:rsidRDefault="00AD32E0" w:rsidP="00277FA2">
      <w:pPr>
        <w:rPr>
          <w:szCs w:val="22"/>
        </w:rPr>
      </w:pPr>
      <w:r w:rsidRPr="00FF703B">
        <w:rPr>
          <w:szCs w:val="22"/>
        </w:rPr>
        <w:t>Furthermore, we do not believe that A</w:t>
      </w:r>
      <w:r w:rsidR="00FF703B">
        <w:rPr>
          <w:rFonts w:eastAsia="Arial"/>
          <w:szCs w:val="22"/>
        </w:rPr>
        <w:t>I</w:t>
      </w:r>
      <w:r w:rsidRPr="00FF703B">
        <w:rPr>
          <w:szCs w:val="22"/>
        </w:rPr>
        <w:t xml:space="preserve">Fs with less than </w:t>
      </w:r>
      <w:r w:rsidR="00FF703B">
        <w:rPr>
          <w:rFonts w:eastAsia="Arial"/>
          <w:szCs w:val="22"/>
        </w:rPr>
        <w:t>€</w:t>
      </w:r>
      <w:r w:rsidRPr="00FF703B">
        <w:rPr>
          <w:szCs w:val="22"/>
        </w:rPr>
        <w:t>5bn in AUM and A</w:t>
      </w:r>
      <w:r w:rsidR="00FF703B">
        <w:rPr>
          <w:rFonts w:eastAsia="Arial"/>
          <w:szCs w:val="22"/>
        </w:rPr>
        <w:t>I</w:t>
      </w:r>
      <w:r w:rsidRPr="00FF703B">
        <w:rPr>
          <w:szCs w:val="22"/>
        </w:rPr>
        <w:t xml:space="preserve">Fs with less than </w:t>
      </w:r>
      <w:r w:rsidR="00FF703B">
        <w:rPr>
          <w:rFonts w:eastAsia="Arial"/>
          <w:szCs w:val="22"/>
        </w:rPr>
        <w:t>€</w:t>
      </w:r>
      <w:r w:rsidRPr="00FF703B">
        <w:rPr>
          <w:szCs w:val="22"/>
        </w:rPr>
        <w:t xml:space="preserve">2.5bn in AUM through the use of leverage pose the type of risk that justifies the high costs of the frequent and detailed reporting required. This would, as a consequence, also mean that the threshold in Article 110(3)(a) should be raised from </w:t>
      </w:r>
      <w:r w:rsidR="00FF703B">
        <w:rPr>
          <w:rFonts w:eastAsia="Arial"/>
          <w:szCs w:val="22"/>
        </w:rPr>
        <w:t>€</w:t>
      </w:r>
      <w:r w:rsidRPr="00FF703B">
        <w:rPr>
          <w:szCs w:val="22"/>
        </w:rPr>
        <w:t xml:space="preserve">1bn to </w:t>
      </w:r>
      <w:r w:rsidR="00FF703B">
        <w:rPr>
          <w:rFonts w:eastAsia="Arial"/>
          <w:szCs w:val="22"/>
        </w:rPr>
        <w:t>€</w:t>
      </w:r>
      <w:r w:rsidRPr="00FF703B">
        <w:rPr>
          <w:szCs w:val="22"/>
        </w:rPr>
        <w:t>5bn. Raising the thresholds in this way would decrease the overall compliance burden and associated costs and ensure the Annex IV requirements are more effectively targeted.</w:t>
      </w:r>
    </w:p>
    <w:p w14:paraId="4B95D947" w14:textId="77777777" w:rsidR="00AD32E0" w:rsidRDefault="00AD32E0" w:rsidP="00277FA2">
      <w:r w:rsidRPr="00AD32E0">
        <w:t xml:space="preserve">Currently, Article 110(1) of the Level 2 Regulation requires AIFMs to submit their Annex IV reports within one month after the quarterly or half-yearly reporting date. Where the AIF is a fund of funds this period may be extended by 15 days. The data that needs to be submitted is often challenging to reconcile within these time periods as the accuracy of the data and the wider compliance of the Annex IV report with the AIFMD and the Level 2 Regulation require verification and sign-off. As a consequence, many AIFMs will often resubmit their Annex IV reports after finalising their month end net asset value (NAV) calculation process having found, and corrected, inadvertent inaccuracies that the previously submitted report contained. </w:t>
      </w:r>
    </w:p>
    <w:p w14:paraId="4F6E4A27" w14:textId="77777777" w:rsidR="00AD32E0" w:rsidRDefault="00AD32E0" w:rsidP="00277FA2">
      <w:r w:rsidRPr="00AD32E0">
        <w:t xml:space="preserve">The calculation of a NAV for AIFs invested solely in Level 1 and Level 2 assets with publicly available or observable prices is straightforward. The more hard-to-value assets (i.e., assets investments for which valuation inputs (such as transaction activity) are not directly observable, which will include some Level 2 and all Level 3 assets) an AIF has, the more challenging it becomes to calculate the NAV because the process will now involve inputs from independent third party experts, discussions with the investment manager’s valuation committee and, for externally managed AIFs, the fund’s valuation committee or governing body. </w:t>
      </w:r>
    </w:p>
    <w:p w14:paraId="395DECCD" w14:textId="77777777" w:rsidR="00AD32E0" w:rsidRDefault="00AD32E0" w:rsidP="00277FA2">
      <w:r w:rsidRPr="00AD32E0">
        <w:t xml:space="preserve">More complex hard-to-value Level 3 assets can take multiple weeks to price and the additional investment manager and fund governing body steps use further business days, out of what is generally only about 22 business days to start with in a given month. The more AIFs an AIFM manages that have hard-to-value assets, the more challenging it is to calculate the NAVs before month end. </w:t>
      </w:r>
    </w:p>
    <w:p w14:paraId="67DB0180" w14:textId="77777777" w:rsidR="00AD32E0" w:rsidRDefault="00AD32E0" w:rsidP="00277FA2">
      <w:r w:rsidRPr="00AD32E0">
        <w:t xml:space="preserve">Once the calculated NAV is available, which can be 15 or more business days into the month, the AIFM still has to complete and file the Annex IV in one or more Member States. In some Member States, the physical process of filing the form can take hours or even days due to constraints of filing systems and sheer volumes of filings being made, especially in the last couple of days of the month. </w:t>
      </w:r>
    </w:p>
    <w:p w14:paraId="222C34EE" w14:textId="0B336825" w:rsidR="00AD32E0" w:rsidRDefault="00AD32E0" w:rsidP="00277FA2">
      <w:r w:rsidRPr="00AD32E0">
        <w:t xml:space="preserve">To allow AIFMs more time to report accurate and verified Annex IV submissions, we believe that the submission date should be extended to two months after the relevant period end. This would greatly reduce the current disproportionate reporting burden placed on filers and ensure better </w:t>
      </w:r>
      <w:r w:rsidRPr="00AD32E0">
        <w:lastRenderedPageBreak/>
        <w:t xml:space="preserve">quality reporting. Extending the submission reporting date would bring greater alignment with the U.S. Securities Exchange Commission’s Annex </w:t>
      </w:r>
      <w:r w:rsidR="00DE0449">
        <w:rPr>
          <w:rFonts w:eastAsia="Arial"/>
        </w:rPr>
        <w:t>I</w:t>
      </w:r>
      <w:r w:rsidRPr="00AD32E0">
        <w:t xml:space="preserve">V equivalent, Form PF, which </w:t>
      </w:r>
      <w:r w:rsidR="00A87D96">
        <w:t xml:space="preserve">currently </w:t>
      </w:r>
      <w:r w:rsidRPr="00AD32E0">
        <w:t>requires large hedge funds advisers to submit their report within 60 calendar days at the end of each quarter</w:t>
      </w:r>
      <w:r w:rsidR="00A87D96">
        <w:t>.</w:t>
      </w:r>
    </w:p>
    <w:p w14:paraId="0286A326" w14:textId="03A73ADF" w:rsidR="00CC1C27" w:rsidRDefault="00AD32E0" w:rsidP="00F21CF0">
      <w:r w:rsidRPr="00FF703B">
        <w:rPr>
          <w:szCs w:val="22"/>
        </w:rPr>
        <w:t xml:space="preserve">While the idea of more frequent data sets may seem attractive, especially to data scientists, more frequent data sets would come at a significant price to the industry and ultimately to investors, and would be especially disproportionate if the frequency was reset for all AIFMs to have to report </w:t>
      </w:r>
      <w:r w:rsidR="00A12AC1">
        <w:rPr>
          <w:szCs w:val="22"/>
        </w:rPr>
        <w:t>monthly</w:t>
      </w:r>
      <w:r w:rsidRPr="00FF703B">
        <w:rPr>
          <w:szCs w:val="22"/>
        </w:rPr>
        <w:t xml:space="preserve">. While costs may have come down as AIFMs have become more familiar with the Annex </w:t>
      </w:r>
      <w:r w:rsidR="00DE0449">
        <w:rPr>
          <w:rFonts w:eastAsia="Arial"/>
          <w:szCs w:val="22"/>
        </w:rPr>
        <w:t>I</w:t>
      </w:r>
      <w:r w:rsidRPr="00FF703B">
        <w:rPr>
          <w:szCs w:val="22"/>
        </w:rPr>
        <w:t>V requirements and NCAs’ expectations, the costs involved in compiling and filing a report per individual AIF and per filing date still range between a few thousand and several tens of thousands of Euros. If more frequent reporting would become mandatory, it logically follows that the costs would increase accordingly, and we question whether the benefits would outweigh the substantial costs.</w:t>
      </w:r>
    </w:p>
    <w:permEnd w:id="1492545028"/>
    <w:p w14:paraId="59E4C8A4" w14:textId="2809296B"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t>&lt;ESMA_QUESTION_ICFD_21&gt;</w:t>
      </w:r>
    </w:p>
    <w:p w14:paraId="754E8B80" w14:textId="29900B68" w:rsidR="00AD32E0" w:rsidRDefault="004746CE" w:rsidP="00AD32E0">
      <w:permStart w:id="342758864" w:edGrp="everyone"/>
      <w:r>
        <w:t>As we highlighted above, i</w:t>
      </w:r>
      <w:r w:rsidR="00AD32E0">
        <w:t>nstrument-level granularity significantly increases cyber security risks, market abuse risks and risks to competitiveness for reporting AIFMs.  Information on the Annex IV is</w:t>
      </w:r>
      <w:r w:rsidR="00F42A5C">
        <w:t xml:space="preserve"> currently</w:t>
      </w:r>
      <w:r w:rsidR="00AD32E0">
        <w:t xml:space="preserve"> reported with only a 30-day lag.  A fully itemised portfolio holdings report that is only 30 days old may be an attractive target for bad actors (whether through illegal cyber-attacks or persons with active or passive permitted access to the submitted data - which is an ever increasing number of people as more and more entities are to be officially granted access to the data) intent on profiting from this non-public information through reverse engineering portfolios, front-running or otherwise.</w:t>
      </w:r>
    </w:p>
    <w:p w14:paraId="614AA2B0" w14:textId="77777777" w:rsidR="00AD32E0" w:rsidRDefault="00AD32E0" w:rsidP="00AD32E0">
      <w:r>
        <w:t>The competitive disadvantage that may befall EU firms having to report market and portfolio level data is significant. AIFMs may effectively lose their intellectual property as disclosure of such information would allow others to reverse-engineer the AIF’s investment strategy. We appreciate that regulators would like to have as much detailed information as possible. We would stress that it is possible to deliver more and better information to regulators than is currently the case without having to disclose data with instrument-level granularity and we urge regulators to consider taking an approach that aims to align with developing international standards.</w:t>
      </w:r>
    </w:p>
    <w:p w14:paraId="4AE1324F" w14:textId="021DF806" w:rsidR="00AD32E0" w:rsidRDefault="00AD32E0" w:rsidP="00F21CF0">
      <w:r>
        <w:t xml:space="preserve">If ESMA does recommend such instrument-level granularity and this is taken up, it will put the EU at a competitive disadvantage as EU AIFMs may be incentivised to </w:t>
      </w:r>
      <w:r w:rsidR="003C7104">
        <w:t>relocate to</w:t>
      </w:r>
      <w:r>
        <w:t xml:space="preserve"> where the reporting </w:t>
      </w:r>
      <w:r>
        <w:lastRenderedPageBreak/>
        <w:t>standards do not provide a possibility for others to reverse-engineer their AIFs’ investment strategies. This is particularly the case for quant funds based in France</w:t>
      </w:r>
      <w:r w:rsidR="003C7104">
        <w:t>,</w:t>
      </w:r>
      <w:r>
        <w:t xml:space="preserve"> for example.</w:t>
      </w:r>
    </w:p>
    <w:permEnd w:id="342758864"/>
    <w:p w14:paraId="18FE11E1" w14:textId="2692054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39E8FFD9" w14:textId="28028B4D" w:rsidR="009729C6" w:rsidRDefault="004746CE" w:rsidP="00F21CF0">
      <w:permStart w:id="1611232175" w:edGrp="everyone"/>
      <w:r>
        <w:t xml:space="preserve">There are no daily reporting requirements for AIFs and AIFMs in the EU. We do not advocate having such an approach as it would not be beneficial nor feasible for the reasons outlined above. </w:t>
      </w:r>
      <w:r w:rsidR="009729C6">
        <w:t xml:space="preserve">We do not foresee any situation in such daily reporting frequency could be set up to avoid a </w:t>
      </w:r>
      <w:r w:rsidR="00375EB2">
        <w:t xml:space="preserve">significantly </w:t>
      </w:r>
      <w:r w:rsidR="009729C6">
        <w:t>disproportionate burden for reporting entities.</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3D0B091B" w14:textId="77777777" w:rsidR="00F21CF0" w:rsidRDefault="00F21CF0" w:rsidP="00F21CF0">
      <w:permStart w:id="1099658953" w:edGrp="everyone"/>
      <w:r>
        <w:t>TYPE YOUR TEXT HERE</w:t>
      </w:r>
    </w:p>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t>&lt;ESMA_QUESTION_ICFD_24&gt;</w:t>
      </w:r>
    </w:p>
    <w:p w14:paraId="63249861" w14:textId="77777777" w:rsidR="00945340" w:rsidRDefault="00945340" w:rsidP="00945340">
      <w:permStart w:id="1735994076" w:edGrp="everyone"/>
      <w:r>
        <w:t>TYPE YOUR TEXT HERE</w:t>
      </w:r>
    </w:p>
    <w:permEnd w:id="1735994076"/>
    <w:p w14:paraId="2ADEBDC2" w14:textId="6EAE9090"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D5FD8" w14:textId="77777777" w:rsidR="00420741" w:rsidRDefault="00420741" w:rsidP="00F716D4">
      <w:r>
        <w:separator/>
      </w:r>
    </w:p>
    <w:p w14:paraId="13B2A67B" w14:textId="77777777" w:rsidR="00420741" w:rsidRDefault="00420741" w:rsidP="00F716D4"/>
  </w:endnote>
  <w:endnote w:type="continuationSeparator" w:id="0">
    <w:p w14:paraId="4BECF34C" w14:textId="77777777" w:rsidR="00420741" w:rsidRDefault="00420741" w:rsidP="00F716D4">
      <w:r>
        <w:continuationSeparator/>
      </w:r>
    </w:p>
    <w:p w14:paraId="5C3E83C6" w14:textId="77777777" w:rsidR="00420741" w:rsidRDefault="00420741" w:rsidP="00F716D4"/>
  </w:endnote>
  <w:endnote w:type="continuationNotice" w:id="1">
    <w:p w14:paraId="1B06B927" w14:textId="77777777" w:rsidR="00420741" w:rsidRDefault="00420741"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Neue Haas Grotesk Text Pro">
    <w:altName w:val="Neue Haas Grotesk Text Pro"/>
    <w:charset w:val="00"/>
    <w:family w:val="swiss"/>
    <w:pitch w:val="variable"/>
    <w:sig w:usb0="00000007" w:usb1="00000000" w:usb2="00000000" w:usb3="00000000" w:csb0="00000093" w:csb1="00000000"/>
  </w:font>
  <w:font w:name="Open Sans">
    <w:altName w:val="Segoe UI"/>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42A10" w14:textId="77777777" w:rsidR="00420741" w:rsidRDefault="00420741" w:rsidP="00F716D4">
      <w:r>
        <w:separator/>
      </w:r>
    </w:p>
    <w:p w14:paraId="445E98A8" w14:textId="77777777" w:rsidR="00420741" w:rsidRDefault="00420741" w:rsidP="00F716D4"/>
  </w:footnote>
  <w:footnote w:type="continuationSeparator" w:id="0">
    <w:p w14:paraId="06D0602C" w14:textId="77777777" w:rsidR="00420741" w:rsidRDefault="00420741" w:rsidP="00F716D4">
      <w:r>
        <w:continuationSeparator/>
      </w:r>
    </w:p>
    <w:p w14:paraId="03063E0C" w14:textId="77777777" w:rsidR="00420741" w:rsidRDefault="00420741" w:rsidP="00F716D4"/>
  </w:footnote>
  <w:footnote w:type="continuationNotice" w:id="1">
    <w:p w14:paraId="53035F69" w14:textId="77777777" w:rsidR="00420741" w:rsidRDefault="00420741" w:rsidP="00F716D4"/>
  </w:footnote>
  <w:footnote w:id="2">
    <w:p w14:paraId="0407D17F" w14:textId="52128410" w:rsidR="007C2316" w:rsidRPr="007C2316" w:rsidRDefault="007C2316">
      <w:pPr>
        <w:pStyle w:val="FootnoteText"/>
      </w:pPr>
      <w:r>
        <w:rPr>
          <w:rStyle w:val="FootnoteReference"/>
        </w:rPr>
        <w:footnoteRef/>
      </w:r>
      <w:r>
        <w:t xml:space="preserve"> See AIMA’s response to the call for evidence at </w:t>
      </w:r>
      <w:hyperlink r:id="rId1" w:history="1">
        <w:r w:rsidRPr="00AE482B">
          <w:rPr>
            <w:rStyle w:val="Hyperlink"/>
          </w:rPr>
          <w:t>https://www.aima.org/resource/aima-responds-to-european-commission-call-for-evidence-on-rationalising-reporting-requirements-as-part-of-the-burden-reduction-package-initiative.html</w:t>
        </w:r>
      </w:hyperlink>
      <w:r>
        <w:t>, November 2023.</w:t>
      </w:r>
    </w:p>
  </w:footnote>
  <w:footnote w:id="3">
    <w:p w14:paraId="11AD363D" w14:textId="44F42D95" w:rsidR="00E20EC3" w:rsidRPr="00E20EC3" w:rsidRDefault="00E20EC3" w:rsidP="00F02D37">
      <w:pPr>
        <w:pStyle w:val="FootnoteText"/>
        <w:rPr>
          <w:lang w:val="en-US"/>
        </w:rPr>
      </w:pPr>
      <w:r>
        <w:rPr>
          <w:rStyle w:val="FootnoteReference"/>
        </w:rPr>
        <w:footnoteRef/>
      </w:r>
      <w:r>
        <w:t xml:space="preserve"> </w:t>
      </w:r>
      <w:r w:rsidR="00F02D37">
        <w:t xml:space="preserve">Final Report, Technical advice to the European Commission on the review of the UCITS Eligible Assets Directive. Available at: </w:t>
      </w:r>
      <w:hyperlink r:id="rId2" w:history="1">
        <w:r w:rsidR="00317A04" w:rsidRPr="0091027A">
          <w:rPr>
            <w:rStyle w:val="Hyperlink"/>
          </w:rPr>
          <w:t>https://www.esma.europa.eu/sites/default/files/2025-06/ESMA34-2087785638-1548_Final_report_on_the_Technical_Advice_on_the_review_of_the_UCITS_EAD.pdf</w:t>
        </w:r>
      </w:hyperlink>
      <w:r w:rsidR="00317A04">
        <w:t xml:space="preserve"> </w:t>
      </w:r>
    </w:p>
  </w:footnote>
  <w:footnote w:id="4">
    <w:p w14:paraId="13FA7F21" w14:textId="0A86F8DA" w:rsidR="00FB02D1" w:rsidRPr="00FB02D1" w:rsidRDefault="00FB02D1">
      <w:pPr>
        <w:pStyle w:val="FootnoteText"/>
        <w:rPr>
          <w:lang w:val="en-US"/>
        </w:rPr>
      </w:pPr>
      <w:r>
        <w:rPr>
          <w:rStyle w:val="FootnoteReference"/>
        </w:rPr>
        <w:footnoteRef/>
      </w:r>
      <w:r>
        <w:t xml:space="preserve"> </w:t>
      </w:r>
      <w:r w:rsidR="00F701AA" w:rsidRPr="00F701AA">
        <w:t>Regulation 2024/1988 of the European Central Bank (“ECB”) concerning statistics on investment funds.</w:t>
      </w:r>
      <w:r w:rsidR="00F701AA">
        <w:t xml:space="preserve"> </w:t>
      </w:r>
    </w:p>
  </w:footnote>
  <w:footnote w:id="5">
    <w:p w14:paraId="1E6ABD76" w14:textId="04F87B5F" w:rsidR="00405D62" w:rsidRPr="00405D62" w:rsidRDefault="00405D62">
      <w:pPr>
        <w:pStyle w:val="FootnoteText"/>
        <w:rPr>
          <w:lang w:val="en-US"/>
        </w:rPr>
      </w:pPr>
      <w:r>
        <w:rPr>
          <w:rStyle w:val="FootnoteReference"/>
        </w:rPr>
        <w:footnoteRef/>
      </w:r>
      <w:r>
        <w:t xml:space="preserve"> </w:t>
      </w:r>
      <w:r w:rsidR="00C1741E" w:rsidRPr="00C1741E">
        <w:rPr>
          <w:lang w:val="en-US"/>
        </w:rPr>
        <w:t xml:space="preserve">ESMA Q&amp;A, section 3, Q1, available at : </w:t>
      </w:r>
      <w:hyperlink r:id="rId3" w:history="1">
        <w:r w:rsidR="00C1741E" w:rsidRPr="00F85128">
          <w:rPr>
            <w:rStyle w:val="Hyperlink"/>
            <w:lang w:val="en-US"/>
          </w:rPr>
          <w:t>www.esma.europa.eu/sites/default/files/library/esma34-32-352_qa_aifmd.pdf</w:t>
        </w:r>
      </w:hyperlink>
      <w:r w:rsidR="00C1741E">
        <w:rPr>
          <w:lang w:val="en-US"/>
        </w:rPr>
        <w:t xml:space="preserve"> </w:t>
      </w:r>
    </w:p>
  </w:footnote>
  <w:footnote w:id="6">
    <w:p w14:paraId="59F0FA8E" w14:textId="738A3D43" w:rsidR="000240BF" w:rsidRPr="00DB31E5" w:rsidRDefault="000240BF" w:rsidP="000240BF">
      <w:pPr>
        <w:pStyle w:val="FootnoteText"/>
        <w:rPr>
          <w:lang w:val="en-US"/>
        </w:rPr>
      </w:pPr>
      <w:r>
        <w:rPr>
          <w:rStyle w:val="FootnoteReference"/>
        </w:rPr>
        <w:footnoteRef/>
      </w:r>
      <w:r>
        <w:t xml:space="preserve"> </w:t>
      </w:r>
      <w:hyperlink r:id="rId4" w:history="1">
        <w:r w:rsidR="005E7F54" w:rsidRPr="0075524E">
          <w:rPr>
            <w:rStyle w:val="Hyperlink"/>
            <w:lang w:val="en-US"/>
          </w:rPr>
          <w:t>AIMA’s response</w:t>
        </w:r>
      </w:hyperlink>
      <w:r w:rsidR="005E7F54" w:rsidRPr="001810AA">
        <w:rPr>
          <w:lang w:val="en-US"/>
        </w:rPr>
        <w:t xml:space="preserve"> to ESMA’s call for evidence on a comprehensive approach for the simplification of financial transaction reporting, </w:t>
      </w:r>
      <w:r w:rsidRPr="001810AA">
        <w:rPr>
          <w:lang w:val="en-US"/>
        </w:rPr>
        <w:t>19 September</w:t>
      </w:r>
      <w:r w:rsidR="005E7F54" w:rsidRPr="001810AA">
        <w:rPr>
          <w:lang w:val="en-US"/>
        </w:rPr>
        <w:t xml:space="preserve"> 2025.</w:t>
      </w:r>
    </w:p>
  </w:footnote>
  <w:footnote w:id="7">
    <w:p w14:paraId="23C851BA" w14:textId="4A1C6439" w:rsidR="00A62F21" w:rsidRPr="00A62F21" w:rsidRDefault="00A62F21">
      <w:pPr>
        <w:pStyle w:val="FootnoteText"/>
        <w:rPr>
          <w:lang w:val="en-US"/>
        </w:rPr>
      </w:pPr>
      <w:r>
        <w:rPr>
          <w:rStyle w:val="FootnoteReference"/>
        </w:rPr>
        <w:footnoteRef/>
      </w:r>
      <w:r>
        <w:t xml:space="preserve"> </w:t>
      </w:r>
      <w:r w:rsidR="00FB0833" w:rsidRPr="00FB0833">
        <w:t xml:space="preserve">International Organization of Securities Commissions (“IOSCO”) published a two-step framework designed to facilitate monitoring of leverage in investment funds that could potentially pose risks to financial stability. The framework, outlined in their report on </w:t>
      </w:r>
      <w:hyperlink r:id="rId5" w:history="1">
        <w:r w:rsidR="00FB0833" w:rsidRPr="00FB0833">
          <w:rPr>
            <w:rStyle w:val="Hyperlink"/>
          </w:rPr>
          <w:t>Recommendations for a Framework Assessing Leverage in Investment Funds,</w:t>
        </w:r>
      </w:hyperlink>
      <w:r w:rsidR="00FB0833">
        <w:t xml:space="preserve"> December 2019.</w:t>
      </w:r>
    </w:p>
  </w:footnote>
  <w:footnote w:id="8">
    <w:p w14:paraId="6280D6BE" w14:textId="0864BCAC" w:rsidR="00CF5A20" w:rsidRPr="00CF5A20" w:rsidRDefault="00CF5A20">
      <w:pPr>
        <w:pStyle w:val="FootnoteText"/>
        <w:rPr>
          <w:lang w:val="en-US"/>
        </w:rPr>
      </w:pPr>
      <w:r>
        <w:rPr>
          <w:rStyle w:val="FootnoteReference"/>
        </w:rPr>
        <w:footnoteRef/>
      </w:r>
      <w:r>
        <w:t xml:space="preserve"> </w:t>
      </w:r>
      <w:r w:rsidRPr="00B9796C">
        <w:t>SEC, “Form PF; Reporting Requirements for All Filers and Large Hedge Fund Advisers”, 89 FR 17984 (Mar. 12, 2024).</w:t>
      </w:r>
    </w:p>
  </w:footnote>
  <w:footnote w:id="9">
    <w:p w14:paraId="428F7420" w14:textId="4AA4959F" w:rsidR="00DA0D2C" w:rsidRPr="00DA0D2C" w:rsidRDefault="00DA0D2C">
      <w:pPr>
        <w:pStyle w:val="FootnoteText"/>
        <w:rPr>
          <w:lang w:val="en-US"/>
        </w:rPr>
      </w:pPr>
      <w:r>
        <w:rPr>
          <w:rStyle w:val="FootnoteReference"/>
        </w:rPr>
        <w:footnoteRef/>
      </w:r>
      <w:r>
        <w:t xml:space="preserve"> </w:t>
      </w:r>
      <w:r w:rsidRPr="00DA0D2C">
        <w:t xml:space="preserve">Securities &amp; Exchange Commission, Statement at Open Meeting on Further Extension of the Form PF Compliance Date, 11 June 2025. Available at: </w:t>
      </w:r>
      <w:hyperlink r:id="rId6" w:history="1">
        <w:r w:rsidRPr="00DD0DF5">
          <w:rPr>
            <w:rStyle w:val="Hyperlink"/>
          </w:rPr>
          <w:t>https://www.sec.gov/newsroom/speeches-statements/atkins-statement-open-meeting-061125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43262300" name="Picture 124326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273881649" name="Picture 127388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666789380" name="Picture 666789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3B4B5F"/>
    <w:multiLevelType w:val="hybridMultilevel"/>
    <w:tmpl w:val="82E2A0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65A4C12"/>
    <w:multiLevelType w:val="hybridMultilevel"/>
    <w:tmpl w:val="DCBCD88C"/>
    <w:lvl w:ilvl="0" w:tplc="FFFFFFFF">
      <w:start w:val="1"/>
      <w:numFmt w:val="bullet"/>
      <w:pStyle w:val="A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C22B8"/>
    <w:multiLevelType w:val="hybridMultilevel"/>
    <w:tmpl w:val="1B7CC8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5C40E8C"/>
    <w:multiLevelType w:val="hybridMultilevel"/>
    <w:tmpl w:val="D8A85D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15:restartNumberingAfterBreak="0">
    <w:nsid w:val="3FD04437"/>
    <w:multiLevelType w:val="hybridMultilevel"/>
    <w:tmpl w:val="3654820E"/>
    <w:lvl w:ilvl="0" w:tplc="08090003">
      <w:start w:val="1"/>
      <w:numFmt w:val="bullet"/>
      <w:lvlText w:val="o"/>
      <w:lvlJc w:val="left"/>
      <w:pPr>
        <w:ind w:left="1069" w:hanging="360"/>
      </w:pPr>
      <w:rPr>
        <w:rFonts w:ascii="Courier New" w:hAnsi="Courier New" w:cs="Courier New"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2"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3"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6"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5E010ADF"/>
    <w:multiLevelType w:val="hybridMultilevel"/>
    <w:tmpl w:val="B6883594"/>
    <w:lvl w:ilvl="0" w:tplc="20000003">
      <w:start w:val="1"/>
      <w:numFmt w:val="bullet"/>
      <w:lvlText w:val="o"/>
      <w:lvlJc w:val="left"/>
      <w:pPr>
        <w:ind w:left="1069" w:hanging="360"/>
      </w:pPr>
      <w:rPr>
        <w:rFonts w:ascii="Courier New" w:hAnsi="Courier New" w:cs="Courier New"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2"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3"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6"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8"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D0B6464"/>
    <w:multiLevelType w:val="hybridMultilevel"/>
    <w:tmpl w:val="1E68DD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8"/>
  </w:num>
  <w:num w:numId="2" w16cid:durableId="1769932826">
    <w:abstractNumId w:val="22"/>
  </w:num>
  <w:num w:numId="3" w16cid:durableId="550074866">
    <w:abstractNumId w:val="13"/>
  </w:num>
  <w:num w:numId="4" w16cid:durableId="1881627233">
    <w:abstractNumId w:val="27"/>
  </w:num>
  <w:num w:numId="5" w16cid:durableId="208225584">
    <w:abstractNumId w:val="0"/>
  </w:num>
  <w:num w:numId="6" w16cid:durableId="1787233265">
    <w:abstractNumId w:val="6"/>
  </w:num>
  <w:num w:numId="7" w16cid:durableId="1846357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5"/>
  </w:num>
  <w:num w:numId="9" w16cid:durableId="1008846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30"/>
  </w:num>
  <w:num w:numId="12" w16cid:durableId="1500659627">
    <w:abstractNumId w:val="34"/>
  </w:num>
  <w:num w:numId="13" w16cid:durableId="1879658227">
    <w:abstractNumId w:val="26"/>
  </w:num>
  <w:num w:numId="14" w16cid:durableId="1495758855">
    <w:abstractNumId w:val="12"/>
  </w:num>
  <w:num w:numId="15" w16cid:durableId="1186556611">
    <w:abstractNumId w:val="1"/>
  </w:num>
  <w:num w:numId="16" w16cid:durableId="679087124">
    <w:abstractNumId w:val="16"/>
  </w:num>
  <w:num w:numId="17" w16cid:durableId="1695498691">
    <w:abstractNumId w:val="17"/>
  </w:num>
  <w:num w:numId="18" w16cid:durableId="1042363640">
    <w:abstractNumId w:val="19"/>
  </w:num>
  <w:num w:numId="19" w16cid:durableId="820345968">
    <w:abstractNumId w:val="29"/>
  </w:num>
  <w:num w:numId="20" w16cid:durableId="1805388212">
    <w:abstractNumId w:val="39"/>
  </w:num>
  <w:num w:numId="21" w16cid:durableId="538709007">
    <w:abstractNumId w:val="28"/>
  </w:num>
  <w:num w:numId="22" w16cid:durableId="104540172">
    <w:abstractNumId w:val="11"/>
  </w:num>
  <w:num w:numId="23" w16cid:durableId="1824349076">
    <w:abstractNumId w:val="33"/>
  </w:num>
  <w:num w:numId="24" w16cid:durableId="672032853">
    <w:abstractNumId w:val="32"/>
  </w:num>
  <w:num w:numId="25" w16cid:durableId="48917541">
    <w:abstractNumId w:val="23"/>
  </w:num>
  <w:num w:numId="26" w16cid:durableId="978925443">
    <w:abstractNumId w:val="36"/>
  </w:num>
  <w:num w:numId="27" w16cid:durableId="1036613928">
    <w:abstractNumId w:val="41"/>
  </w:num>
  <w:num w:numId="28" w16cid:durableId="872039349">
    <w:abstractNumId w:val="8"/>
  </w:num>
  <w:num w:numId="29" w16cid:durableId="924530660">
    <w:abstractNumId w:val="5"/>
  </w:num>
  <w:num w:numId="30" w16cid:durableId="419180233">
    <w:abstractNumId w:val="25"/>
  </w:num>
  <w:num w:numId="31" w16cid:durableId="276761337">
    <w:abstractNumId w:val="24"/>
  </w:num>
  <w:num w:numId="32" w16cid:durableId="1166238383">
    <w:abstractNumId w:val="38"/>
  </w:num>
  <w:num w:numId="33" w16cid:durableId="2076850202">
    <w:abstractNumId w:val="37"/>
  </w:num>
  <w:num w:numId="34" w16cid:durableId="469176496">
    <w:abstractNumId w:val="14"/>
  </w:num>
  <w:num w:numId="35" w16cid:durableId="674843309">
    <w:abstractNumId w:val="21"/>
  </w:num>
  <w:num w:numId="36" w16cid:durableId="1954971501">
    <w:abstractNumId w:val="43"/>
  </w:num>
  <w:num w:numId="37" w16cid:durableId="1880315838">
    <w:abstractNumId w:val="14"/>
    <w:lvlOverride w:ilvl="0">
      <w:startOverride w:val="55"/>
    </w:lvlOverride>
  </w:num>
  <w:num w:numId="38" w16cid:durableId="1900551566">
    <w:abstractNumId w:val="3"/>
  </w:num>
  <w:num w:numId="39" w16cid:durableId="1201626675">
    <w:abstractNumId w:val="20"/>
  </w:num>
  <w:num w:numId="40" w16cid:durableId="229002719">
    <w:abstractNumId w:val="10"/>
  </w:num>
  <w:num w:numId="41" w16cid:durableId="997421413">
    <w:abstractNumId w:val="2"/>
  </w:num>
  <w:num w:numId="42" w16cid:durableId="1321232526">
    <w:abstractNumId w:val="31"/>
  </w:num>
  <w:num w:numId="43" w16cid:durableId="1539779706">
    <w:abstractNumId w:val="4"/>
  </w:num>
  <w:num w:numId="44" w16cid:durableId="1483885829">
    <w:abstractNumId w:val="4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2F96"/>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40BF"/>
    <w:rsid w:val="00025E71"/>
    <w:rsid w:val="00026226"/>
    <w:rsid w:val="00026269"/>
    <w:rsid w:val="00027154"/>
    <w:rsid w:val="00027ECF"/>
    <w:rsid w:val="000303BE"/>
    <w:rsid w:val="00033A94"/>
    <w:rsid w:val="000344D6"/>
    <w:rsid w:val="00034960"/>
    <w:rsid w:val="00036FAE"/>
    <w:rsid w:val="00041858"/>
    <w:rsid w:val="00041AB4"/>
    <w:rsid w:val="0004389E"/>
    <w:rsid w:val="00044F57"/>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7AC"/>
    <w:rsid w:val="00070974"/>
    <w:rsid w:val="00071EAD"/>
    <w:rsid w:val="00071F4E"/>
    <w:rsid w:val="00072271"/>
    <w:rsid w:val="00072B54"/>
    <w:rsid w:val="0007463D"/>
    <w:rsid w:val="00074979"/>
    <w:rsid w:val="000749F0"/>
    <w:rsid w:val="0007609D"/>
    <w:rsid w:val="00077C67"/>
    <w:rsid w:val="00080234"/>
    <w:rsid w:val="00080976"/>
    <w:rsid w:val="00081CEB"/>
    <w:rsid w:val="00081E60"/>
    <w:rsid w:val="00082D8E"/>
    <w:rsid w:val="00082E31"/>
    <w:rsid w:val="00083AA3"/>
    <w:rsid w:val="00085947"/>
    <w:rsid w:val="000868FE"/>
    <w:rsid w:val="000878D1"/>
    <w:rsid w:val="000921AE"/>
    <w:rsid w:val="000921D7"/>
    <w:rsid w:val="00092305"/>
    <w:rsid w:val="000925FF"/>
    <w:rsid w:val="000932E0"/>
    <w:rsid w:val="00094853"/>
    <w:rsid w:val="00094C4C"/>
    <w:rsid w:val="00095DF7"/>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1EC9"/>
    <w:rsid w:val="000B20A1"/>
    <w:rsid w:val="000B275C"/>
    <w:rsid w:val="000B2C3D"/>
    <w:rsid w:val="000B55C0"/>
    <w:rsid w:val="000B5D8C"/>
    <w:rsid w:val="000B5DF2"/>
    <w:rsid w:val="000C0514"/>
    <w:rsid w:val="000C06C9"/>
    <w:rsid w:val="000C0C53"/>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77"/>
    <w:rsid w:val="000D7EB9"/>
    <w:rsid w:val="000E0223"/>
    <w:rsid w:val="000E0CF3"/>
    <w:rsid w:val="000E18A8"/>
    <w:rsid w:val="000E1AEC"/>
    <w:rsid w:val="000E273B"/>
    <w:rsid w:val="000E3937"/>
    <w:rsid w:val="000E4926"/>
    <w:rsid w:val="000E49B7"/>
    <w:rsid w:val="000E5F7F"/>
    <w:rsid w:val="000E669A"/>
    <w:rsid w:val="000E7086"/>
    <w:rsid w:val="000E7388"/>
    <w:rsid w:val="000E7C65"/>
    <w:rsid w:val="000F04D2"/>
    <w:rsid w:val="000F51A3"/>
    <w:rsid w:val="000F55B7"/>
    <w:rsid w:val="000F604F"/>
    <w:rsid w:val="000F7399"/>
    <w:rsid w:val="00101BF1"/>
    <w:rsid w:val="001027F1"/>
    <w:rsid w:val="00104DC8"/>
    <w:rsid w:val="00104E00"/>
    <w:rsid w:val="00104F2E"/>
    <w:rsid w:val="001072DD"/>
    <w:rsid w:val="00110D7A"/>
    <w:rsid w:val="0011110B"/>
    <w:rsid w:val="00111464"/>
    <w:rsid w:val="0011167D"/>
    <w:rsid w:val="0011216D"/>
    <w:rsid w:val="00112892"/>
    <w:rsid w:val="00112E48"/>
    <w:rsid w:val="001130EA"/>
    <w:rsid w:val="001138E8"/>
    <w:rsid w:val="00114259"/>
    <w:rsid w:val="001168B2"/>
    <w:rsid w:val="00117C20"/>
    <w:rsid w:val="00120F0E"/>
    <w:rsid w:val="00121033"/>
    <w:rsid w:val="00121A5D"/>
    <w:rsid w:val="00121BED"/>
    <w:rsid w:val="00123A30"/>
    <w:rsid w:val="00123D39"/>
    <w:rsid w:val="001244CD"/>
    <w:rsid w:val="00124C65"/>
    <w:rsid w:val="0012566F"/>
    <w:rsid w:val="001262B1"/>
    <w:rsid w:val="00130966"/>
    <w:rsid w:val="00130F41"/>
    <w:rsid w:val="00130FAF"/>
    <w:rsid w:val="0013321E"/>
    <w:rsid w:val="00135F2B"/>
    <w:rsid w:val="00136D11"/>
    <w:rsid w:val="001372DD"/>
    <w:rsid w:val="0014026C"/>
    <w:rsid w:val="001405BA"/>
    <w:rsid w:val="00141497"/>
    <w:rsid w:val="0014253A"/>
    <w:rsid w:val="001425C8"/>
    <w:rsid w:val="001431AE"/>
    <w:rsid w:val="00143B87"/>
    <w:rsid w:val="001459E3"/>
    <w:rsid w:val="00146A0B"/>
    <w:rsid w:val="00147293"/>
    <w:rsid w:val="0014761E"/>
    <w:rsid w:val="0015061C"/>
    <w:rsid w:val="00151907"/>
    <w:rsid w:val="001544C8"/>
    <w:rsid w:val="00155FAB"/>
    <w:rsid w:val="001567A1"/>
    <w:rsid w:val="00156857"/>
    <w:rsid w:val="00157BC9"/>
    <w:rsid w:val="00157E79"/>
    <w:rsid w:val="00157EED"/>
    <w:rsid w:val="0016087A"/>
    <w:rsid w:val="00160A5C"/>
    <w:rsid w:val="001613EC"/>
    <w:rsid w:val="001620A5"/>
    <w:rsid w:val="0016358A"/>
    <w:rsid w:val="001638D4"/>
    <w:rsid w:val="00164664"/>
    <w:rsid w:val="00164F15"/>
    <w:rsid w:val="001651A4"/>
    <w:rsid w:val="0016552B"/>
    <w:rsid w:val="00165691"/>
    <w:rsid w:val="00166B04"/>
    <w:rsid w:val="001670A6"/>
    <w:rsid w:val="001701FA"/>
    <w:rsid w:val="00171183"/>
    <w:rsid w:val="001725A5"/>
    <w:rsid w:val="00172681"/>
    <w:rsid w:val="0017312F"/>
    <w:rsid w:val="00173AC7"/>
    <w:rsid w:val="001745D7"/>
    <w:rsid w:val="00175754"/>
    <w:rsid w:val="00176982"/>
    <w:rsid w:val="00176BA8"/>
    <w:rsid w:val="0017701C"/>
    <w:rsid w:val="001810AA"/>
    <w:rsid w:val="00181264"/>
    <w:rsid w:val="00181BD1"/>
    <w:rsid w:val="0018204A"/>
    <w:rsid w:val="00182F7C"/>
    <w:rsid w:val="001843B5"/>
    <w:rsid w:val="00184712"/>
    <w:rsid w:val="00186777"/>
    <w:rsid w:val="00186829"/>
    <w:rsid w:val="001868CA"/>
    <w:rsid w:val="00187304"/>
    <w:rsid w:val="001875BE"/>
    <w:rsid w:val="001878C6"/>
    <w:rsid w:val="0019017A"/>
    <w:rsid w:val="00190B8C"/>
    <w:rsid w:val="00190FF8"/>
    <w:rsid w:val="0019311A"/>
    <w:rsid w:val="0019508A"/>
    <w:rsid w:val="001960D8"/>
    <w:rsid w:val="00196517"/>
    <w:rsid w:val="001A1642"/>
    <w:rsid w:val="001A371B"/>
    <w:rsid w:val="001A4766"/>
    <w:rsid w:val="001A6A0D"/>
    <w:rsid w:val="001A6C51"/>
    <w:rsid w:val="001A6FAA"/>
    <w:rsid w:val="001A7A9A"/>
    <w:rsid w:val="001A7D73"/>
    <w:rsid w:val="001B0363"/>
    <w:rsid w:val="001B08A7"/>
    <w:rsid w:val="001B1355"/>
    <w:rsid w:val="001B2FC9"/>
    <w:rsid w:val="001B3138"/>
    <w:rsid w:val="001B4E4B"/>
    <w:rsid w:val="001B50AC"/>
    <w:rsid w:val="001B5E05"/>
    <w:rsid w:val="001B649A"/>
    <w:rsid w:val="001B6D68"/>
    <w:rsid w:val="001B6F2E"/>
    <w:rsid w:val="001C00F7"/>
    <w:rsid w:val="001C025B"/>
    <w:rsid w:val="001C0344"/>
    <w:rsid w:val="001C0F2A"/>
    <w:rsid w:val="001C1A59"/>
    <w:rsid w:val="001C270F"/>
    <w:rsid w:val="001C2BFE"/>
    <w:rsid w:val="001C4679"/>
    <w:rsid w:val="001C5770"/>
    <w:rsid w:val="001C6195"/>
    <w:rsid w:val="001D000A"/>
    <w:rsid w:val="001D0883"/>
    <w:rsid w:val="001D1C47"/>
    <w:rsid w:val="001D2205"/>
    <w:rsid w:val="001D3A0E"/>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13F"/>
    <w:rsid w:val="001F0F63"/>
    <w:rsid w:val="001F380F"/>
    <w:rsid w:val="001F3996"/>
    <w:rsid w:val="001F44A4"/>
    <w:rsid w:val="001F579D"/>
    <w:rsid w:val="001F65EF"/>
    <w:rsid w:val="001F697B"/>
    <w:rsid w:val="002005A6"/>
    <w:rsid w:val="00204CBC"/>
    <w:rsid w:val="00204D41"/>
    <w:rsid w:val="00204EE0"/>
    <w:rsid w:val="002051F1"/>
    <w:rsid w:val="002067BA"/>
    <w:rsid w:val="0021058D"/>
    <w:rsid w:val="00211E2F"/>
    <w:rsid w:val="00211E9E"/>
    <w:rsid w:val="00211F88"/>
    <w:rsid w:val="00214FB4"/>
    <w:rsid w:val="00215940"/>
    <w:rsid w:val="00217C23"/>
    <w:rsid w:val="00220561"/>
    <w:rsid w:val="00220C59"/>
    <w:rsid w:val="00220CE4"/>
    <w:rsid w:val="002210A8"/>
    <w:rsid w:val="00222D9B"/>
    <w:rsid w:val="00223788"/>
    <w:rsid w:val="00223D11"/>
    <w:rsid w:val="002242D3"/>
    <w:rsid w:val="00227C1A"/>
    <w:rsid w:val="002301E6"/>
    <w:rsid w:val="00232555"/>
    <w:rsid w:val="00232F90"/>
    <w:rsid w:val="00233B08"/>
    <w:rsid w:val="00233C3B"/>
    <w:rsid w:val="0023499C"/>
    <w:rsid w:val="00234FA7"/>
    <w:rsid w:val="00235C1A"/>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3C9"/>
    <w:rsid w:val="002559F3"/>
    <w:rsid w:val="00256DFE"/>
    <w:rsid w:val="00257CE6"/>
    <w:rsid w:val="00261640"/>
    <w:rsid w:val="00261D56"/>
    <w:rsid w:val="00261FD3"/>
    <w:rsid w:val="00263505"/>
    <w:rsid w:val="00264077"/>
    <w:rsid w:val="00266B9A"/>
    <w:rsid w:val="00270E54"/>
    <w:rsid w:val="00273633"/>
    <w:rsid w:val="00273681"/>
    <w:rsid w:val="00275176"/>
    <w:rsid w:val="002754B5"/>
    <w:rsid w:val="002764C5"/>
    <w:rsid w:val="00276A5A"/>
    <w:rsid w:val="002772AE"/>
    <w:rsid w:val="00277FA2"/>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511"/>
    <w:rsid w:val="002946DC"/>
    <w:rsid w:val="002A0C82"/>
    <w:rsid w:val="002A0CD8"/>
    <w:rsid w:val="002A13EB"/>
    <w:rsid w:val="002A35EF"/>
    <w:rsid w:val="002A3DE0"/>
    <w:rsid w:val="002A40EA"/>
    <w:rsid w:val="002A41CA"/>
    <w:rsid w:val="002A46E8"/>
    <w:rsid w:val="002A491C"/>
    <w:rsid w:val="002A4C8E"/>
    <w:rsid w:val="002A62F8"/>
    <w:rsid w:val="002A7A2B"/>
    <w:rsid w:val="002B0A2B"/>
    <w:rsid w:val="002B0AB4"/>
    <w:rsid w:val="002B1FEF"/>
    <w:rsid w:val="002B2DF8"/>
    <w:rsid w:val="002B3473"/>
    <w:rsid w:val="002B354F"/>
    <w:rsid w:val="002B3614"/>
    <w:rsid w:val="002B44EA"/>
    <w:rsid w:val="002B45D1"/>
    <w:rsid w:val="002B4ED8"/>
    <w:rsid w:val="002B4FAA"/>
    <w:rsid w:val="002B52C2"/>
    <w:rsid w:val="002B7656"/>
    <w:rsid w:val="002C0642"/>
    <w:rsid w:val="002C1492"/>
    <w:rsid w:val="002C1772"/>
    <w:rsid w:val="002C1E8B"/>
    <w:rsid w:val="002C220B"/>
    <w:rsid w:val="002C2EFE"/>
    <w:rsid w:val="002C53AA"/>
    <w:rsid w:val="002C5B2D"/>
    <w:rsid w:val="002C6AF9"/>
    <w:rsid w:val="002C7DFC"/>
    <w:rsid w:val="002D08B8"/>
    <w:rsid w:val="002D14F3"/>
    <w:rsid w:val="002D16E4"/>
    <w:rsid w:val="002D23EF"/>
    <w:rsid w:val="002D2FEF"/>
    <w:rsid w:val="002D36A3"/>
    <w:rsid w:val="002D36C2"/>
    <w:rsid w:val="002D3FCB"/>
    <w:rsid w:val="002D4FEF"/>
    <w:rsid w:val="002D502D"/>
    <w:rsid w:val="002D5BD8"/>
    <w:rsid w:val="002D63F5"/>
    <w:rsid w:val="002D6E1A"/>
    <w:rsid w:val="002E036D"/>
    <w:rsid w:val="002E08DE"/>
    <w:rsid w:val="002E10A5"/>
    <w:rsid w:val="002E1262"/>
    <w:rsid w:val="002E1517"/>
    <w:rsid w:val="002E1760"/>
    <w:rsid w:val="002E1B22"/>
    <w:rsid w:val="002E3294"/>
    <w:rsid w:val="002E387F"/>
    <w:rsid w:val="002E76FC"/>
    <w:rsid w:val="002E7F4B"/>
    <w:rsid w:val="002F0C91"/>
    <w:rsid w:val="002F0E3E"/>
    <w:rsid w:val="002F1683"/>
    <w:rsid w:val="002F1B19"/>
    <w:rsid w:val="002F1FBF"/>
    <w:rsid w:val="002F4139"/>
    <w:rsid w:val="00300624"/>
    <w:rsid w:val="00300F56"/>
    <w:rsid w:val="00301006"/>
    <w:rsid w:val="003014C2"/>
    <w:rsid w:val="003016AC"/>
    <w:rsid w:val="0030188E"/>
    <w:rsid w:val="00301C2B"/>
    <w:rsid w:val="00304A71"/>
    <w:rsid w:val="003066C8"/>
    <w:rsid w:val="0030739D"/>
    <w:rsid w:val="00307AFB"/>
    <w:rsid w:val="00311184"/>
    <w:rsid w:val="00311E05"/>
    <w:rsid w:val="00312675"/>
    <w:rsid w:val="00312AF2"/>
    <w:rsid w:val="00313F3D"/>
    <w:rsid w:val="00314013"/>
    <w:rsid w:val="00314945"/>
    <w:rsid w:val="00315389"/>
    <w:rsid w:val="00315746"/>
    <w:rsid w:val="00315E96"/>
    <w:rsid w:val="00317A04"/>
    <w:rsid w:val="00317FC8"/>
    <w:rsid w:val="003213F0"/>
    <w:rsid w:val="003223D7"/>
    <w:rsid w:val="00322534"/>
    <w:rsid w:val="00322C4D"/>
    <w:rsid w:val="00323D9F"/>
    <w:rsid w:val="00324FDB"/>
    <w:rsid w:val="00325F48"/>
    <w:rsid w:val="003268DE"/>
    <w:rsid w:val="0033194F"/>
    <w:rsid w:val="00332304"/>
    <w:rsid w:val="00332406"/>
    <w:rsid w:val="00332D8D"/>
    <w:rsid w:val="00335CD9"/>
    <w:rsid w:val="00336194"/>
    <w:rsid w:val="00336B56"/>
    <w:rsid w:val="00341B25"/>
    <w:rsid w:val="00341EC0"/>
    <w:rsid w:val="0034240C"/>
    <w:rsid w:val="0034374F"/>
    <w:rsid w:val="00344496"/>
    <w:rsid w:val="00345968"/>
    <w:rsid w:val="00347667"/>
    <w:rsid w:val="003507E2"/>
    <w:rsid w:val="003522B2"/>
    <w:rsid w:val="00352C2A"/>
    <w:rsid w:val="00353B20"/>
    <w:rsid w:val="0035455E"/>
    <w:rsid w:val="00354A6F"/>
    <w:rsid w:val="00354A9D"/>
    <w:rsid w:val="00354B48"/>
    <w:rsid w:val="00355789"/>
    <w:rsid w:val="00355F59"/>
    <w:rsid w:val="00356A09"/>
    <w:rsid w:val="003609B6"/>
    <w:rsid w:val="00361119"/>
    <w:rsid w:val="00361F66"/>
    <w:rsid w:val="0036538D"/>
    <w:rsid w:val="00365D12"/>
    <w:rsid w:val="00366E20"/>
    <w:rsid w:val="00367718"/>
    <w:rsid w:val="0037018D"/>
    <w:rsid w:val="00370C90"/>
    <w:rsid w:val="00372299"/>
    <w:rsid w:val="00372F02"/>
    <w:rsid w:val="00373729"/>
    <w:rsid w:val="00373C91"/>
    <w:rsid w:val="0037446D"/>
    <w:rsid w:val="00374843"/>
    <w:rsid w:val="003748F0"/>
    <w:rsid w:val="003755C6"/>
    <w:rsid w:val="00375AEF"/>
    <w:rsid w:val="00375EB2"/>
    <w:rsid w:val="00376367"/>
    <w:rsid w:val="00376B02"/>
    <w:rsid w:val="00376B7E"/>
    <w:rsid w:val="0037733A"/>
    <w:rsid w:val="003776DC"/>
    <w:rsid w:val="003779C1"/>
    <w:rsid w:val="00380FEC"/>
    <w:rsid w:val="00381226"/>
    <w:rsid w:val="00381B1B"/>
    <w:rsid w:val="00381DF7"/>
    <w:rsid w:val="00381FF6"/>
    <w:rsid w:val="0038356A"/>
    <w:rsid w:val="00383D7D"/>
    <w:rsid w:val="00384CCE"/>
    <w:rsid w:val="003865E5"/>
    <w:rsid w:val="0038664C"/>
    <w:rsid w:val="003926C1"/>
    <w:rsid w:val="00392900"/>
    <w:rsid w:val="00393357"/>
    <w:rsid w:val="00395E7B"/>
    <w:rsid w:val="00395F4C"/>
    <w:rsid w:val="0039783C"/>
    <w:rsid w:val="00397866"/>
    <w:rsid w:val="003A51C5"/>
    <w:rsid w:val="003A5A73"/>
    <w:rsid w:val="003A5ABC"/>
    <w:rsid w:val="003A5DAC"/>
    <w:rsid w:val="003A6591"/>
    <w:rsid w:val="003A6E9A"/>
    <w:rsid w:val="003A76CE"/>
    <w:rsid w:val="003B02C1"/>
    <w:rsid w:val="003B08C8"/>
    <w:rsid w:val="003B0D9C"/>
    <w:rsid w:val="003B2567"/>
    <w:rsid w:val="003B3274"/>
    <w:rsid w:val="003B381A"/>
    <w:rsid w:val="003B4976"/>
    <w:rsid w:val="003B4B3F"/>
    <w:rsid w:val="003B6258"/>
    <w:rsid w:val="003B7A99"/>
    <w:rsid w:val="003C0343"/>
    <w:rsid w:val="003C1C32"/>
    <w:rsid w:val="003C3943"/>
    <w:rsid w:val="003C40DA"/>
    <w:rsid w:val="003C42BA"/>
    <w:rsid w:val="003C462F"/>
    <w:rsid w:val="003C4A02"/>
    <w:rsid w:val="003C4F05"/>
    <w:rsid w:val="003C6191"/>
    <w:rsid w:val="003C6E49"/>
    <w:rsid w:val="003C7104"/>
    <w:rsid w:val="003C7D90"/>
    <w:rsid w:val="003D0CBF"/>
    <w:rsid w:val="003D0DD6"/>
    <w:rsid w:val="003D4B73"/>
    <w:rsid w:val="003D503B"/>
    <w:rsid w:val="003D605E"/>
    <w:rsid w:val="003D61D1"/>
    <w:rsid w:val="003D6780"/>
    <w:rsid w:val="003D681F"/>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5391"/>
    <w:rsid w:val="00405D62"/>
    <w:rsid w:val="00406E90"/>
    <w:rsid w:val="004079AA"/>
    <w:rsid w:val="00410240"/>
    <w:rsid w:val="00412253"/>
    <w:rsid w:val="004142ED"/>
    <w:rsid w:val="0041634D"/>
    <w:rsid w:val="00416ABC"/>
    <w:rsid w:val="00417EF7"/>
    <w:rsid w:val="00420741"/>
    <w:rsid w:val="00420EE0"/>
    <w:rsid w:val="00422A7D"/>
    <w:rsid w:val="00422BFC"/>
    <w:rsid w:val="00424420"/>
    <w:rsid w:val="00424642"/>
    <w:rsid w:val="00424F28"/>
    <w:rsid w:val="00425ABB"/>
    <w:rsid w:val="00425BB6"/>
    <w:rsid w:val="004261A0"/>
    <w:rsid w:val="004265AA"/>
    <w:rsid w:val="00426BC3"/>
    <w:rsid w:val="00426CE1"/>
    <w:rsid w:val="0042739E"/>
    <w:rsid w:val="004277D9"/>
    <w:rsid w:val="00427D52"/>
    <w:rsid w:val="00430412"/>
    <w:rsid w:val="00430497"/>
    <w:rsid w:val="004307B8"/>
    <w:rsid w:val="004307C3"/>
    <w:rsid w:val="0043173B"/>
    <w:rsid w:val="00431B0A"/>
    <w:rsid w:val="00431DA4"/>
    <w:rsid w:val="00432A91"/>
    <w:rsid w:val="004332A4"/>
    <w:rsid w:val="0043453F"/>
    <w:rsid w:val="00434A74"/>
    <w:rsid w:val="00434AA6"/>
    <w:rsid w:val="00437929"/>
    <w:rsid w:val="00437A4A"/>
    <w:rsid w:val="00440541"/>
    <w:rsid w:val="004412B3"/>
    <w:rsid w:val="0044162D"/>
    <w:rsid w:val="0044277A"/>
    <w:rsid w:val="004434EF"/>
    <w:rsid w:val="004456DC"/>
    <w:rsid w:val="004463D2"/>
    <w:rsid w:val="00447FBE"/>
    <w:rsid w:val="0045021A"/>
    <w:rsid w:val="0045035E"/>
    <w:rsid w:val="0045175A"/>
    <w:rsid w:val="00451ED9"/>
    <w:rsid w:val="00452180"/>
    <w:rsid w:val="00453072"/>
    <w:rsid w:val="00453692"/>
    <w:rsid w:val="004539F8"/>
    <w:rsid w:val="00453F26"/>
    <w:rsid w:val="0045503F"/>
    <w:rsid w:val="00455273"/>
    <w:rsid w:val="00457B50"/>
    <w:rsid w:val="00460905"/>
    <w:rsid w:val="00460CD6"/>
    <w:rsid w:val="00461254"/>
    <w:rsid w:val="00461297"/>
    <w:rsid w:val="00461E35"/>
    <w:rsid w:val="004621DB"/>
    <w:rsid w:val="004634A7"/>
    <w:rsid w:val="00463787"/>
    <w:rsid w:val="00465F7E"/>
    <w:rsid w:val="00466926"/>
    <w:rsid w:val="00466FDA"/>
    <w:rsid w:val="004671D0"/>
    <w:rsid w:val="004674D1"/>
    <w:rsid w:val="00470773"/>
    <w:rsid w:val="00471FF9"/>
    <w:rsid w:val="00473E74"/>
    <w:rsid w:val="00473FA6"/>
    <w:rsid w:val="00473FEF"/>
    <w:rsid w:val="004746CE"/>
    <w:rsid w:val="00475B8E"/>
    <w:rsid w:val="004770B5"/>
    <w:rsid w:val="0048104E"/>
    <w:rsid w:val="004814BB"/>
    <w:rsid w:val="004815DA"/>
    <w:rsid w:val="00482458"/>
    <w:rsid w:val="004837ED"/>
    <w:rsid w:val="00483942"/>
    <w:rsid w:val="004842B9"/>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4A2"/>
    <w:rsid w:val="00497750"/>
    <w:rsid w:val="00497B44"/>
    <w:rsid w:val="004A00E5"/>
    <w:rsid w:val="004A01A7"/>
    <w:rsid w:val="004A0D09"/>
    <w:rsid w:val="004A116E"/>
    <w:rsid w:val="004A1460"/>
    <w:rsid w:val="004A2C80"/>
    <w:rsid w:val="004A357F"/>
    <w:rsid w:val="004A36A2"/>
    <w:rsid w:val="004A3768"/>
    <w:rsid w:val="004A3DAD"/>
    <w:rsid w:val="004A401B"/>
    <w:rsid w:val="004B0335"/>
    <w:rsid w:val="004B0F1C"/>
    <w:rsid w:val="004B1541"/>
    <w:rsid w:val="004B1E61"/>
    <w:rsid w:val="004B21AB"/>
    <w:rsid w:val="004B59E0"/>
    <w:rsid w:val="004B667B"/>
    <w:rsid w:val="004B69FB"/>
    <w:rsid w:val="004B71C7"/>
    <w:rsid w:val="004B7E00"/>
    <w:rsid w:val="004C0093"/>
    <w:rsid w:val="004C03AA"/>
    <w:rsid w:val="004C0B9A"/>
    <w:rsid w:val="004C14E7"/>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676"/>
    <w:rsid w:val="004E2E89"/>
    <w:rsid w:val="004E33C2"/>
    <w:rsid w:val="004E3B9A"/>
    <w:rsid w:val="004E49B0"/>
    <w:rsid w:val="004E4B43"/>
    <w:rsid w:val="004E6102"/>
    <w:rsid w:val="004E62DE"/>
    <w:rsid w:val="004E6B05"/>
    <w:rsid w:val="004E76A1"/>
    <w:rsid w:val="004F05DE"/>
    <w:rsid w:val="004F5813"/>
    <w:rsid w:val="004F6376"/>
    <w:rsid w:val="004F6A93"/>
    <w:rsid w:val="004F6F14"/>
    <w:rsid w:val="004F728D"/>
    <w:rsid w:val="004F76D9"/>
    <w:rsid w:val="004F79A6"/>
    <w:rsid w:val="00501BF5"/>
    <w:rsid w:val="00501D8B"/>
    <w:rsid w:val="00503A3E"/>
    <w:rsid w:val="00503F59"/>
    <w:rsid w:val="005049A7"/>
    <w:rsid w:val="00504D2E"/>
    <w:rsid w:val="005053B2"/>
    <w:rsid w:val="00506331"/>
    <w:rsid w:val="00506B43"/>
    <w:rsid w:val="00507D11"/>
    <w:rsid w:val="00510662"/>
    <w:rsid w:val="00510765"/>
    <w:rsid w:val="005109B7"/>
    <w:rsid w:val="00510A19"/>
    <w:rsid w:val="00511AAB"/>
    <w:rsid w:val="00511CAD"/>
    <w:rsid w:val="00512423"/>
    <w:rsid w:val="00512C77"/>
    <w:rsid w:val="005140A0"/>
    <w:rsid w:val="00514D10"/>
    <w:rsid w:val="00516783"/>
    <w:rsid w:val="005171FB"/>
    <w:rsid w:val="00517EF8"/>
    <w:rsid w:val="00520083"/>
    <w:rsid w:val="0052029E"/>
    <w:rsid w:val="0052076A"/>
    <w:rsid w:val="00520A2C"/>
    <w:rsid w:val="00520E25"/>
    <w:rsid w:val="0052183D"/>
    <w:rsid w:val="00522470"/>
    <w:rsid w:val="00522B01"/>
    <w:rsid w:val="00522F44"/>
    <w:rsid w:val="0052360A"/>
    <w:rsid w:val="005242BA"/>
    <w:rsid w:val="005243B8"/>
    <w:rsid w:val="005252DD"/>
    <w:rsid w:val="00530A8D"/>
    <w:rsid w:val="00531C6D"/>
    <w:rsid w:val="00532E3C"/>
    <w:rsid w:val="00532EF4"/>
    <w:rsid w:val="00533BA3"/>
    <w:rsid w:val="005347CE"/>
    <w:rsid w:val="00535477"/>
    <w:rsid w:val="00535DEA"/>
    <w:rsid w:val="0053723A"/>
    <w:rsid w:val="00537636"/>
    <w:rsid w:val="00537B1D"/>
    <w:rsid w:val="00537D31"/>
    <w:rsid w:val="00540191"/>
    <w:rsid w:val="00540A2A"/>
    <w:rsid w:val="00541F27"/>
    <w:rsid w:val="00542297"/>
    <w:rsid w:val="005424BC"/>
    <w:rsid w:val="00542A28"/>
    <w:rsid w:val="005441D4"/>
    <w:rsid w:val="00545A51"/>
    <w:rsid w:val="0054672D"/>
    <w:rsid w:val="00550F4E"/>
    <w:rsid w:val="00551C2B"/>
    <w:rsid w:val="00551E98"/>
    <w:rsid w:val="005532B5"/>
    <w:rsid w:val="00553677"/>
    <w:rsid w:val="00554A05"/>
    <w:rsid w:val="00555849"/>
    <w:rsid w:val="005559A8"/>
    <w:rsid w:val="00557048"/>
    <w:rsid w:val="005578AB"/>
    <w:rsid w:val="00557FB5"/>
    <w:rsid w:val="00560ACF"/>
    <w:rsid w:val="00561AED"/>
    <w:rsid w:val="005648A8"/>
    <w:rsid w:val="00564DE3"/>
    <w:rsid w:val="00564E44"/>
    <w:rsid w:val="005666D3"/>
    <w:rsid w:val="00566C6A"/>
    <w:rsid w:val="00566CE5"/>
    <w:rsid w:val="00566D36"/>
    <w:rsid w:val="00567290"/>
    <w:rsid w:val="0057163A"/>
    <w:rsid w:val="0057174D"/>
    <w:rsid w:val="00573569"/>
    <w:rsid w:val="00573871"/>
    <w:rsid w:val="0057389E"/>
    <w:rsid w:val="005765C0"/>
    <w:rsid w:val="00576AAD"/>
    <w:rsid w:val="005778DE"/>
    <w:rsid w:val="00577D72"/>
    <w:rsid w:val="005805C9"/>
    <w:rsid w:val="00580B3F"/>
    <w:rsid w:val="005825F2"/>
    <w:rsid w:val="0058344D"/>
    <w:rsid w:val="00583885"/>
    <w:rsid w:val="005856AA"/>
    <w:rsid w:val="005860AF"/>
    <w:rsid w:val="00587F1D"/>
    <w:rsid w:val="00590348"/>
    <w:rsid w:val="00591161"/>
    <w:rsid w:val="00592318"/>
    <w:rsid w:val="00593133"/>
    <w:rsid w:val="0059575D"/>
    <w:rsid w:val="00596825"/>
    <w:rsid w:val="005A06A0"/>
    <w:rsid w:val="005A0E68"/>
    <w:rsid w:val="005A150A"/>
    <w:rsid w:val="005A2B3E"/>
    <w:rsid w:val="005A3644"/>
    <w:rsid w:val="005A4087"/>
    <w:rsid w:val="005A48A8"/>
    <w:rsid w:val="005A4B18"/>
    <w:rsid w:val="005A537E"/>
    <w:rsid w:val="005A6F43"/>
    <w:rsid w:val="005A767D"/>
    <w:rsid w:val="005A775C"/>
    <w:rsid w:val="005B000E"/>
    <w:rsid w:val="005B00F1"/>
    <w:rsid w:val="005B0CE7"/>
    <w:rsid w:val="005B0E28"/>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4A86"/>
    <w:rsid w:val="005D4F78"/>
    <w:rsid w:val="005D5DD9"/>
    <w:rsid w:val="005D5EB1"/>
    <w:rsid w:val="005D696A"/>
    <w:rsid w:val="005D6A29"/>
    <w:rsid w:val="005D7EB4"/>
    <w:rsid w:val="005E0481"/>
    <w:rsid w:val="005E10BF"/>
    <w:rsid w:val="005E1834"/>
    <w:rsid w:val="005E3875"/>
    <w:rsid w:val="005E49E5"/>
    <w:rsid w:val="005E4E00"/>
    <w:rsid w:val="005E5481"/>
    <w:rsid w:val="005E55E4"/>
    <w:rsid w:val="005E5CBA"/>
    <w:rsid w:val="005E6C5F"/>
    <w:rsid w:val="005E7636"/>
    <w:rsid w:val="005E7F54"/>
    <w:rsid w:val="005F028E"/>
    <w:rsid w:val="005F04B4"/>
    <w:rsid w:val="005F08C2"/>
    <w:rsid w:val="005F11A4"/>
    <w:rsid w:val="005F19F8"/>
    <w:rsid w:val="005F3817"/>
    <w:rsid w:val="005F3FB1"/>
    <w:rsid w:val="005F4C33"/>
    <w:rsid w:val="005F4D29"/>
    <w:rsid w:val="005F5ACF"/>
    <w:rsid w:val="005F60DC"/>
    <w:rsid w:val="005F6588"/>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6CC"/>
    <w:rsid w:val="0062022D"/>
    <w:rsid w:val="006205D9"/>
    <w:rsid w:val="00620D7C"/>
    <w:rsid w:val="00621089"/>
    <w:rsid w:val="00621E1F"/>
    <w:rsid w:val="006228B2"/>
    <w:rsid w:val="006228E1"/>
    <w:rsid w:val="00622E32"/>
    <w:rsid w:val="0062341B"/>
    <w:rsid w:val="00623688"/>
    <w:rsid w:val="006247E0"/>
    <w:rsid w:val="00625F82"/>
    <w:rsid w:val="00626D59"/>
    <w:rsid w:val="00627999"/>
    <w:rsid w:val="00630FF7"/>
    <w:rsid w:val="00633433"/>
    <w:rsid w:val="006341B5"/>
    <w:rsid w:val="006346C9"/>
    <w:rsid w:val="00634727"/>
    <w:rsid w:val="00634B64"/>
    <w:rsid w:val="0063578C"/>
    <w:rsid w:val="0063642C"/>
    <w:rsid w:val="0063681E"/>
    <w:rsid w:val="00636FF9"/>
    <w:rsid w:val="00640DCD"/>
    <w:rsid w:val="00640F41"/>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4E2"/>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4AB4"/>
    <w:rsid w:val="0067555E"/>
    <w:rsid w:val="00677FAD"/>
    <w:rsid w:val="006802DE"/>
    <w:rsid w:val="0068032D"/>
    <w:rsid w:val="0068068C"/>
    <w:rsid w:val="00681043"/>
    <w:rsid w:val="00681115"/>
    <w:rsid w:val="00683920"/>
    <w:rsid w:val="00685147"/>
    <w:rsid w:val="00685653"/>
    <w:rsid w:val="0068590D"/>
    <w:rsid w:val="00685A89"/>
    <w:rsid w:val="006861B3"/>
    <w:rsid w:val="00686F0E"/>
    <w:rsid w:val="00686FA2"/>
    <w:rsid w:val="006870C5"/>
    <w:rsid w:val="00690F0E"/>
    <w:rsid w:val="006911C0"/>
    <w:rsid w:val="00691B7C"/>
    <w:rsid w:val="00692ADF"/>
    <w:rsid w:val="00694B73"/>
    <w:rsid w:val="00694DF2"/>
    <w:rsid w:val="00695F80"/>
    <w:rsid w:val="006966CD"/>
    <w:rsid w:val="00696735"/>
    <w:rsid w:val="0069715D"/>
    <w:rsid w:val="0069780E"/>
    <w:rsid w:val="006A2CA2"/>
    <w:rsid w:val="006A658D"/>
    <w:rsid w:val="006B0C14"/>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11C9"/>
    <w:rsid w:val="006F3948"/>
    <w:rsid w:val="006F4403"/>
    <w:rsid w:val="006F45EC"/>
    <w:rsid w:val="006F47B8"/>
    <w:rsid w:val="006F47D2"/>
    <w:rsid w:val="006F4B04"/>
    <w:rsid w:val="006F5456"/>
    <w:rsid w:val="006F57F2"/>
    <w:rsid w:val="006F6468"/>
    <w:rsid w:val="006F71FA"/>
    <w:rsid w:val="00700247"/>
    <w:rsid w:val="007009C5"/>
    <w:rsid w:val="00701051"/>
    <w:rsid w:val="00701E69"/>
    <w:rsid w:val="007021C2"/>
    <w:rsid w:val="00702502"/>
    <w:rsid w:val="00702C49"/>
    <w:rsid w:val="007033A8"/>
    <w:rsid w:val="0070421B"/>
    <w:rsid w:val="007043F0"/>
    <w:rsid w:val="0070482E"/>
    <w:rsid w:val="00704CE2"/>
    <w:rsid w:val="00704D25"/>
    <w:rsid w:val="00706D4F"/>
    <w:rsid w:val="007102CB"/>
    <w:rsid w:val="00710519"/>
    <w:rsid w:val="00710F6E"/>
    <w:rsid w:val="00711663"/>
    <w:rsid w:val="007116B4"/>
    <w:rsid w:val="00711D65"/>
    <w:rsid w:val="00711FD5"/>
    <w:rsid w:val="007121FB"/>
    <w:rsid w:val="00712580"/>
    <w:rsid w:val="0071335E"/>
    <w:rsid w:val="007133E4"/>
    <w:rsid w:val="00713788"/>
    <w:rsid w:val="00713940"/>
    <w:rsid w:val="007151A2"/>
    <w:rsid w:val="00716774"/>
    <w:rsid w:val="00716A0B"/>
    <w:rsid w:val="0071740A"/>
    <w:rsid w:val="007209DD"/>
    <w:rsid w:val="00721876"/>
    <w:rsid w:val="00722E49"/>
    <w:rsid w:val="00723A08"/>
    <w:rsid w:val="00723B5C"/>
    <w:rsid w:val="00724391"/>
    <w:rsid w:val="0072496A"/>
    <w:rsid w:val="00724C18"/>
    <w:rsid w:val="00725FB1"/>
    <w:rsid w:val="00726630"/>
    <w:rsid w:val="00727F73"/>
    <w:rsid w:val="00730705"/>
    <w:rsid w:val="00730944"/>
    <w:rsid w:val="00731475"/>
    <w:rsid w:val="0073248E"/>
    <w:rsid w:val="00732AC6"/>
    <w:rsid w:val="00733EE9"/>
    <w:rsid w:val="00735B8E"/>
    <w:rsid w:val="00736651"/>
    <w:rsid w:val="0073673C"/>
    <w:rsid w:val="007368B9"/>
    <w:rsid w:val="00736935"/>
    <w:rsid w:val="007378EC"/>
    <w:rsid w:val="00737DD9"/>
    <w:rsid w:val="00743A6A"/>
    <w:rsid w:val="00743DE7"/>
    <w:rsid w:val="0074509E"/>
    <w:rsid w:val="00745B9F"/>
    <w:rsid w:val="0074726F"/>
    <w:rsid w:val="00752D4F"/>
    <w:rsid w:val="0075409F"/>
    <w:rsid w:val="0075524E"/>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F4D"/>
    <w:rsid w:val="007679B0"/>
    <w:rsid w:val="00770268"/>
    <w:rsid w:val="007706B9"/>
    <w:rsid w:val="007707ED"/>
    <w:rsid w:val="0077189C"/>
    <w:rsid w:val="00771C3B"/>
    <w:rsid w:val="007726F9"/>
    <w:rsid w:val="00773B94"/>
    <w:rsid w:val="00773C65"/>
    <w:rsid w:val="00775937"/>
    <w:rsid w:val="00777046"/>
    <w:rsid w:val="007770DA"/>
    <w:rsid w:val="007771EE"/>
    <w:rsid w:val="007805B9"/>
    <w:rsid w:val="00780C3A"/>
    <w:rsid w:val="00782745"/>
    <w:rsid w:val="007834A1"/>
    <w:rsid w:val="00791EB4"/>
    <w:rsid w:val="007928F1"/>
    <w:rsid w:val="0079357D"/>
    <w:rsid w:val="007937CC"/>
    <w:rsid w:val="00793A31"/>
    <w:rsid w:val="0079485D"/>
    <w:rsid w:val="00794979"/>
    <w:rsid w:val="007956B7"/>
    <w:rsid w:val="00795F1A"/>
    <w:rsid w:val="007963AD"/>
    <w:rsid w:val="00796EDE"/>
    <w:rsid w:val="00797297"/>
    <w:rsid w:val="007974B3"/>
    <w:rsid w:val="00797875"/>
    <w:rsid w:val="007978BF"/>
    <w:rsid w:val="007A076C"/>
    <w:rsid w:val="007A2140"/>
    <w:rsid w:val="007A23E2"/>
    <w:rsid w:val="007A31A5"/>
    <w:rsid w:val="007A411B"/>
    <w:rsid w:val="007A45E6"/>
    <w:rsid w:val="007A4B28"/>
    <w:rsid w:val="007A5C2C"/>
    <w:rsid w:val="007A7678"/>
    <w:rsid w:val="007B0CD8"/>
    <w:rsid w:val="007B0DE0"/>
    <w:rsid w:val="007B21DE"/>
    <w:rsid w:val="007B230E"/>
    <w:rsid w:val="007B2BB9"/>
    <w:rsid w:val="007B43E8"/>
    <w:rsid w:val="007B4740"/>
    <w:rsid w:val="007B502C"/>
    <w:rsid w:val="007B5108"/>
    <w:rsid w:val="007B5F3B"/>
    <w:rsid w:val="007B7AAB"/>
    <w:rsid w:val="007C02B0"/>
    <w:rsid w:val="007C063E"/>
    <w:rsid w:val="007C1901"/>
    <w:rsid w:val="007C2316"/>
    <w:rsid w:val="007C2E82"/>
    <w:rsid w:val="007C49C0"/>
    <w:rsid w:val="007C55C1"/>
    <w:rsid w:val="007C5738"/>
    <w:rsid w:val="007C5772"/>
    <w:rsid w:val="007C5AC3"/>
    <w:rsid w:val="007C5BD5"/>
    <w:rsid w:val="007C7233"/>
    <w:rsid w:val="007D0844"/>
    <w:rsid w:val="007D10EE"/>
    <w:rsid w:val="007D1193"/>
    <w:rsid w:val="007D21D5"/>
    <w:rsid w:val="007D3E8D"/>
    <w:rsid w:val="007D5915"/>
    <w:rsid w:val="007D5B4F"/>
    <w:rsid w:val="007D5C30"/>
    <w:rsid w:val="007E0660"/>
    <w:rsid w:val="007E0A54"/>
    <w:rsid w:val="007E1411"/>
    <w:rsid w:val="007E1882"/>
    <w:rsid w:val="007E1BB4"/>
    <w:rsid w:val="007E2077"/>
    <w:rsid w:val="007E212C"/>
    <w:rsid w:val="007E3514"/>
    <w:rsid w:val="007E4207"/>
    <w:rsid w:val="007E4AAA"/>
    <w:rsid w:val="007E4BD2"/>
    <w:rsid w:val="007E4C29"/>
    <w:rsid w:val="007E5E44"/>
    <w:rsid w:val="007F0DDA"/>
    <w:rsid w:val="007F0E54"/>
    <w:rsid w:val="007F1939"/>
    <w:rsid w:val="007F2104"/>
    <w:rsid w:val="007F365C"/>
    <w:rsid w:val="007F5066"/>
    <w:rsid w:val="007F621C"/>
    <w:rsid w:val="007F7155"/>
    <w:rsid w:val="007F7994"/>
    <w:rsid w:val="007F7C8A"/>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A43"/>
    <w:rsid w:val="00812FD7"/>
    <w:rsid w:val="008138BD"/>
    <w:rsid w:val="00817D40"/>
    <w:rsid w:val="00820623"/>
    <w:rsid w:val="00821747"/>
    <w:rsid w:val="008229A3"/>
    <w:rsid w:val="00822DFB"/>
    <w:rsid w:val="00822F64"/>
    <w:rsid w:val="00824086"/>
    <w:rsid w:val="008253A6"/>
    <w:rsid w:val="00825A6B"/>
    <w:rsid w:val="00825C50"/>
    <w:rsid w:val="00826577"/>
    <w:rsid w:val="00827439"/>
    <w:rsid w:val="00827C79"/>
    <w:rsid w:val="00827C9D"/>
    <w:rsid w:val="0083003F"/>
    <w:rsid w:val="00831077"/>
    <w:rsid w:val="00831A4A"/>
    <w:rsid w:val="00832134"/>
    <w:rsid w:val="0083219E"/>
    <w:rsid w:val="008324B3"/>
    <w:rsid w:val="00833AD6"/>
    <w:rsid w:val="0083497C"/>
    <w:rsid w:val="008352A6"/>
    <w:rsid w:val="00835B5B"/>
    <w:rsid w:val="00835CC2"/>
    <w:rsid w:val="008367AE"/>
    <w:rsid w:val="00836E50"/>
    <w:rsid w:val="00837AE7"/>
    <w:rsid w:val="00840477"/>
    <w:rsid w:val="0084121D"/>
    <w:rsid w:val="008418E3"/>
    <w:rsid w:val="008419C1"/>
    <w:rsid w:val="008433CE"/>
    <w:rsid w:val="00844515"/>
    <w:rsid w:val="0084465A"/>
    <w:rsid w:val="00844B28"/>
    <w:rsid w:val="00844DFF"/>
    <w:rsid w:val="00845D87"/>
    <w:rsid w:val="00846C3A"/>
    <w:rsid w:val="008477BF"/>
    <w:rsid w:val="00847E1A"/>
    <w:rsid w:val="008503DA"/>
    <w:rsid w:val="00850B68"/>
    <w:rsid w:val="00850E82"/>
    <w:rsid w:val="0085122D"/>
    <w:rsid w:val="008519E8"/>
    <w:rsid w:val="008525FF"/>
    <w:rsid w:val="00852983"/>
    <w:rsid w:val="00852C03"/>
    <w:rsid w:val="0085590C"/>
    <w:rsid w:val="008575EB"/>
    <w:rsid w:val="008601CF"/>
    <w:rsid w:val="00862DDD"/>
    <w:rsid w:val="0086312D"/>
    <w:rsid w:val="0086326D"/>
    <w:rsid w:val="00863CC1"/>
    <w:rsid w:val="008648A7"/>
    <w:rsid w:val="00865B01"/>
    <w:rsid w:val="00866D7A"/>
    <w:rsid w:val="00866EE3"/>
    <w:rsid w:val="00871F04"/>
    <w:rsid w:val="008746C1"/>
    <w:rsid w:val="008761BC"/>
    <w:rsid w:val="00880224"/>
    <w:rsid w:val="0088244C"/>
    <w:rsid w:val="008828E1"/>
    <w:rsid w:val="00883367"/>
    <w:rsid w:val="00884C47"/>
    <w:rsid w:val="00885E6F"/>
    <w:rsid w:val="008861AC"/>
    <w:rsid w:val="008868E4"/>
    <w:rsid w:val="00886A60"/>
    <w:rsid w:val="0088759B"/>
    <w:rsid w:val="008909B4"/>
    <w:rsid w:val="008922E8"/>
    <w:rsid w:val="00892576"/>
    <w:rsid w:val="00893916"/>
    <w:rsid w:val="0089442C"/>
    <w:rsid w:val="00895818"/>
    <w:rsid w:val="008A2585"/>
    <w:rsid w:val="008A2718"/>
    <w:rsid w:val="008A4CF6"/>
    <w:rsid w:val="008A4E42"/>
    <w:rsid w:val="008A51AA"/>
    <w:rsid w:val="008A6A12"/>
    <w:rsid w:val="008B0DC6"/>
    <w:rsid w:val="008B1C21"/>
    <w:rsid w:val="008B2B9E"/>
    <w:rsid w:val="008B31F5"/>
    <w:rsid w:val="008B4A8E"/>
    <w:rsid w:val="008B4C79"/>
    <w:rsid w:val="008B5D2D"/>
    <w:rsid w:val="008B6361"/>
    <w:rsid w:val="008C0320"/>
    <w:rsid w:val="008C1A17"/>
    <w:rsid w:val="008C2A81"/>
    <w:rsid w:val="008C3863"/>
    <w:rsid w:val="008C3B6B"/>
    <w:rsid w:val="008C4BDC"/>
    <w:rsid w:val="008C50FF"/>
    <w:rsid w:val="008C5435"/>
    <w:rsid w:val="008C6BD1"/>
    <w:rsid w:val="008D2DB5"/>
    <w:rsid w:val="008D3F10"/>
    <w:rsid w:val="008D611D"/>
    <w:rsid w:val="008D741A"/>
    <w:rsid w:val="008E1B6A"/>
    <w:rsid w:val="008E3054"/>
    <w:rsid w:val="008E32FF"/>
    <w:rsid w:val="008E5625"/>
    <w:rsid w:val="008E5C5B"/>
    <w:rsid w:val="008E5D4E"/>
    <w:rsid w:val="008E692B"/>
    <w:rsid w:val="008E6A37"/>
    <w:rsid w:val="008F0354"/>
    <w:rsid w:val="008F085A"/>
    <w:rsid w:val="008F1462"/>
    <w:rsid w:val="008F2413"/>
    <w:rsid w:val="008F248D"/>
    <w:rsid w:val="008F3655"/>
    <w:rsid w:val="008F40EE"/>
    <w:rsid w:val="008F4B2C"/>
    <w:rsid w:val="008F4C08"/>
    <w:rsid w:val="008F6851"/>
    <w:rsid w:val="008F7BC4"/>
    <w:rsid w:val="009003B8"/>
    <w:rsid w:val="00900520"/>
    <w:rsid w:val="009005D2"/>
    <w:rsid w:val="00900E7A"/>
    <w:rsid w:val="00903E11"/>
    <w:rsid w:val="00903EBE"/>
    <w:rsid w:val="00904176"/>
    <w:rsid w:val="009041DE"/>
    <w:rsid w:val="0090485C"/>
    <w:rsid w:val="00905D59"/>
    <w:rsid w:val="009062CA"/>
    <w:rsid w:val="009073E6"/>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5F46"/>
    <w:rsid w:val="0092751A"/>
    <w:rsid w:val="00927E1C"/>
    <w:rsid w:val="009305C4"/>
    <w:rsid w:val="00931FAF"/>
    <w:rsid w:val="00932478"/>
    <w:rsid w:val="00935FE6"/>
    <w:rsid w:val="009360F6"/>
    <w:rsid w:val="009371DC"/>
    <w:rsid w:val="0093759D"/>
    <w:rsid w:val="00940239"/>
    <w:rsid w:val="0094216E"/>
    <w:rsid w:val="00942BD6"/>
    <w:rsid w:val="00942DED"/>
    <w:rsid w:val="00944404"/>
    <w:rsid w:val="009452D7"/>
    <w:rsid w:val="00945340"/>
    <w:rsid w:val="00945C02"/>
    <w:rsid w:val="00945FD1"/>
    <w:rsid w:val="00946CCC"/>
    <w:rsid w:val="009503E5"/>
    <w:rsid w:val="00950F71"/>
    <w:rsid w:val="00952F2C"/>
    <w:rsid w:val="009532E3"/>
    <w:rsid w:val="00953615"/>
    <w:rsid w:val="00954BAF"/>
    <w:rsid w:val="00955C37"/>
    <w:rsid w:val="00955F48"/>
    <w:rsid w:val="009560B3"/>
    <w:rsid w:val="009572F1"/>
    <w:rsid w:val="0095745E"/>
    <w:rsid w:val="00957CE0"/>
    <w:rsid w:val="0096002E"/>
    <w:rsid w:val="0096039E"/>
    <w:rsid w:val="009605BE"/>
    <w:rsid w:val="00962BEF"/>
    <w:rsid w:val="00962C46"/>
    <w:rsid w:val="00962CEF"/>
    <w:rsid w:val="00963766"/>
    <w:rsid w:val="00963E46"/>
    <w:rsid w:val="00963FDF"/>
    <w:rsid w:val="00964C32"/>
    <w:rsid w:val="0096528F"/>
    <w:rsid w:val="009653F2"/>
    <w:rsid w:val="009661DF"/>
    <w:rsid w:val="009667BD"/>
    <w:rsid w:val="00966F2B"/>
    <w:rsid w:val="0096761A"/>
    <w:rsid w:val="00967C2B"/>
    <w:rsid w:val="00967CE2"/>
    <w:rsid w:val="00967F7B"/>
    <w:rsid w:val="009712DE"/>
    <w:rsid w:val="00971DA3"/>
    <w:rsid w:val="00972161"/>
    <w:rsid w:val="0097261B"/>
    <w:rsid w:val="009729C6"/>
    <w:rsid w:val="00974881"/>
    <w:rsid w:val="0097568E"/>
    <w:rsid w:val="0097606C"/>
    <w:rsid w:val="0097614E"/>
    <w:rsid w:val="009771D1"/>
    <w:rsid w:val="0098012D"/>
    <w:rsid w:val="00980845"/>
    <w:rsid w:val="00981BD9"/>
    <w:rsid w:val="0098225F"/>
    <w:rsid w:val="00983694"/>
    <w:rsid w:val="00983A3C"/>
    <w:rsid w:val="00983EFA"/>
    <w:rsid w:val="00984C15"/>
    <w:rsid w:val="00987829"/>
    <w:rsid w:val="00987F7A"/>
    <w:rsid w:val="00991276"/>
    <w:rsid w:val="009923E7"/>
    <w:rsid w:val="00992697"/>
    <w:rsid w:val="00992D4E"/>
    <w:rsid w:val="009934BB"/>
    <w:rsid w:val="00994621"/>
    <w:rsid w:val="009947FF"/>
    <w:rsid w:val="009949FF"/>
    <w:rsid w:val="00994E40"/>
    <w:rsid w:val="00995149"/>
    <w:rsid w:val="0099544B"/>
    <w:rsid w:val="0099643D"/>
    <w:rsid w:val="009A07A6"/>
    <w:rsid w:val="009A0D56"/>
    <w:rsid w:val="009A31B9"/>
    <w:rsid w:val="009A3F14"/>
    <w:rsid w:val="009A4D4F"/>
    <w:rsid w:val="009A53D8"/>
    <w:rsid w:val="009A597F"/>
    <w:rsid w:val="009A7751"/>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5F3E"/>
    <w:rsid w:val="009C6091"/>
    <w:rsid w:val="009C634F"/>
    <w:rsid w:val="009C6DD5"/>
    <w:rsid w:val="009D0219"/>
    <w:rsid w:val="009D05AD"/>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31C"/>
    <w:rsid w:val="00A005D4"/>
    <w:rsid w:val="00A0083C"/>
    <w:rsid w:val="00A01A90"/>
    <w:rsid w:val="00A02370"/>
    <w:rsid w:val="00A04685"/>
    <w:rsid w:val="00A04991"/>
    <w:rsid w:val="00A04C57"/>
    <w:rsid w:val="00A06340"/>
    <w:rsid w:val="00A0684F"/>
    <w:rsid w:val="00A06867"/>
    <w:rsid w:val="00A10148"/>
    <w:rsid w:val="00A10DBC"/>
    <w:rsid w:val="00A113FD"/>
    <w:rsid w:val="00A11DDE"/>
    <w:rsid w:val="00A127A7"/>
    <w:rsid w:val="00A129F4"/>
    <w:rsid w:val="00A12AC1"/>
    <w:rsid w:val="00A136F4"/>
    <w:rsid w:val="00A160D3"/>
    <w:rsid w:val="00A16DC9"/>
    <w:rsid w:val="00A16EDC"/>
    <w:rsid w:val="00A176C1"/>
    <w:rsid w:val="00A20225"/>
    <w:rsid w:val="00A24269"/>
    <w:rsid w:val="00A243E4"/>
    <w:rsid w:val="00A25392"/>
    <w:rsid w:val="00A25D4B"/>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062C"/>
    <w:rsid w:val="00A4173D"/>
    <w:rsid w:val="00A417AE"/>
    <w:rsid w:val="00A41A95"/>
    <w:rsid w:val="00A4248B"/>
    <w:rsid w:val="00A4376E"/>
    <w:rsid w:val="00A455ED"/>
    <w:rsid w:val="00A4572B"/>
    <w:rsid w:val="00A46246"/>
    <w:rsid w:val="00A46349"/>
    <w:rsid w:val="00A46D5E"/>
    <w:rsid w:val="00A50847"/>
    <w:rsid w:val="00A512C7"/>
    <w:rsid w:val="00A5181B"/>
    <w:rsid w:val="00A52120"/>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2F21"/>
    <w:rsid w:val="00A63C96"/>
    <w:rsid w:val="00A65805"/>
    <w:rsid w:val="00A66BEE"/>
    <w:rsid w:val="00A671C9"/>
    <w:rsid w:val="00A678C6"/>
    <w:rsid w:val="00A67DFD"/>
    <w:rsid w:val="00A70897"/>
    <w:rsid w:val="00A74F9F"/>
    <w:rsid w:val="00A750B3"/>
    <w:rsid w:val="00A75559"/>
    <w:rsid w:val="00A7623D"/>
    <w:rsid w:val="00A8217C"/>
    <w:rsid w:val="00A824A7"/>
    <w:rsid w:val="00A83644"/>
    <w:rsid w:val="00A83C07"/>
    <w:rsid w:val="00A83F40"/>
    <w:rsid w:val="00A84945"/>
    <w:rsid w:val="00A84EC0"/>
    <w:rsid w:val="00A85543"/>
    <w:rsid w:val="00A86EDD"/>
    <w:rsid w:val="00A8728B"/>
    <w:rsid w:val="00A87D96"/>
    <w:rsid w:val="00A91682"/>
    <w:rsid w:val="00A92125"/>
    <w:rsid w:val="00A92E4A"/>
    <w:rsid w:val="00A93353"/>
    <w:rsid w:val="00A958CA"/>
    <w:rsid w:val="00A95CD7"/>
    <w:rsid w:val="00A966B6"/>
    <w:rsid w:val="00A96B46"/>
    <w:rsid w:val="00AA003B"/>
    <w:rsid w:val="00AA016B"/>
    <w:rsid w:val="00AA15DD"/>
    <w:rsid w:val="00AA1C09"/>
    <w:rsid w:val="00AA2F67"/>
    <w:rsid w:val="00AA3569"/>
    <w:rsid w:val="00AA41EE"/>
    <w:rsid w:val="00AA5F4C"/>
    <w:rsid w:val="00AA615C"/>
    <w:rsid w:val="00AA6276"/>
    <w:rsid w:val="00AA663E"/>
    <w:rsid w:val="00AA6711"/>
    <w:rsid w:val="00AA6754"/>
    <w:rsid w:val="00AB2AEC"/>
    <w:rsid w:val="00AB2DC1"/>
    <w:rsid w:val="00AB3102"/>
    <w:rsid w:val="00AB3D9A"/>
    <w:rsid w:val="00AB4824"/>
    <w:rsid w:val="00AB4B1D"/>
    <w:rsid w:val="00AB6B5E"/>
    <w:rsid w:val="00AB7182"/>
    <w:rsid w:val="00AC047F"/>
    <w:rsid w:val="00AC0DB2"/>
    <w:rsid w:val="00AC3934"/>
    <w:rsid w:val="00AC50C8"/>
    <w:rsid w:val="00AC5581"/>
    <w:rsid w:val="00AC56AD"/>
    <w:rsid w:val="00AC61BE"/>
    <w:rsid w:val="00AC7E8A"/>
    <w:rsid w:val="00AD0C8A"/>
    <w:rsid w:val="00AD0CB4"/>
    <w:rsid w:val="00AD1FF2"/>
    <w:rsid w:val="00AD292C"/>
    <w:rsid w:val="00AD2A21"/>
    <w:rsid w:val="00AD32E0"/>
    <w:rsid w:val="00AD3B43"/>
    <w:rsid w:val="00AD4FF2"/>
    <w:rsid w:val="00AD506C"/>
    <w:rsid w:val="00AD6BE5"/>
    <w:rsid w:val="00AD783E"/>
    <w:rsid w:val="00AE1393"/>
    <w:rsid w:val="00AE2A0A"/>
    <w:rsid w:val="00AE3BC6"/>
    <w:rsid w:val="00AE4D4F"/>
    <w:rsid w:val="00AE627C"/>
    <w:rsid w:val="00AE62B0"/>
    <w:rsid w:val="00AE68A2"/>
    <w:rsid w:val="00AE799C"/>
    <w:rsid w:val="00AF0029"/>
    <w:rsid w:val="00AF0354"/>
    <w:rsid w:val="00AF1236"/>
    <w:rsid w:val="00AF3C29"/>
    <w:rsid w:val="00AF4401"/>
    <w:rsid w:val="00AF4463"/>
    <w:rsid w:val="00AF502B"/>
    <w:rsid w:val="00AF53CB"/>
    <w:rsid w:val="00AF65C5"/>
    <w:rsid w:val="00B028EA"/>
    <w:rsid w:val="00B03CE2"/>
    <w:rsid w:val="00B06544"/>
    <w:rsid w:val="00B105F2"/>
    <w:rsid w:val="00B10991"/>
    <w:rsid w:val="00B10D89"/>
    <w:rsid w:val="00B12128"/>
    <w:rsid w:val="00B12945"/>
    <w:rsid w:val="00B12C1E"/>
    <w:rsid w:val="00B1467D"/>
    <w:rsid w:val="00B14847"/>
    <w:rsid w:val="00B155DF"/>
    <w:rsid w:val="00B156CF"/>
    <w:rsid w:val="00B1570E"/>
    <w:rsid w:val="00B1581B"/>
    <w:rsid w:val="00B164BA"/>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13D1"/>
    <w:rsid w:val="00B320CE"/>
    <w:rsid w:val="00B33294"/>
    <w:rsid w:val="00B33657"/>
    <w:rsid w:val="00B34885"/>
    <w:rsid w:val="00B34D68"/>
    <w:rsid w:val="00B36117"/>
    <w:rsid w:val="00B362E3"/>
    <w:rsid w:val="00B37C73"/>
    <w:rsid w:val="00B37CEA"/>
    <w:rsid w:val="00B4009B"/>
    <w:rsid w:val="00B400A1"/>
    <w:rsid w:val="00B40A2B"/>
    <w:rsid w:val="00B411B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2D"/>
    <w:rsid w:val="00B54BD9"/>
    <w:rsid w:val="00B5503C"/>
    <w:rsid w:val="00B55640"/>
    <w:rsid w:val="00B55C57"/>
    <w:rsid w:val="00B560FF"/>
    <w:rsid w:val="00B57107"/>
    <w:rsid w:val="00B575E1"/>
    <w:rsid w:val="00B60D27"/>
    <w:rsid w:val="00B619E4"/>
    <w:rsid w:val="00B61CD3"/>
    <w:rsid w:val="00B61D0B"/>
    <w:rsid w:val="00B6284F"/>
    <w:rsid w:val="00B6351C"/>
    <w:rsid w:val="00B6439A"/>
    <w:rsid w:val="00B6443B"/>
    <w:rsid w:val="00B64A33"/>
    <w:rsid w:val="00B6517B"/>
    <w:rsid w:val="00B65E71"/>
    <w:rsid w:val="00B66C26"/>
    <w:rsid w:val="00B67829"/>
    <w:rsid w:val="00B71FB3"/>
    <w:rsid w:val="00B73492"/>
    <w:rsid w:val="00B7512A"/>
    <w:rsid w:val="00B76548"/>
    <w:rsid w:val="00B76BED"/>
    <w:rsid w:val="00B77150"/>
    <w:rsid w:val="00B77499"/>
    <w:rsid w:val="00B806E6"/>
    <w:rsid w:val="00B82DC1"/>
    <w:rsid w:val="00B835D5"/>
    <w:rsid w:val="00B84028"/>
    <w:rsid w:val="00B84307"/>
    <w:rsid w:val="00B8430D"/>
    <w:rsid w:val="00B85661"/>
    <w:rsid w:val="00B85C8A"/>
    <w:rsid w:val="00B86FBD"/>
    <w:rsid w:val="00B905B6"/>
    <w:rsid w:val="00B90C16"/>
    <w:rsid w:val="00B91B86"/>
    <w:rsid w:val="00B927CA"/>
    <w:rsid w:val="00B928AE"/>
    <w:rsid w:val="00B93CDA"/>
    <w:rsid w:val="00B94158"/>
    <w:rsid w:val="00B942E9"/>
    <w:rsid w:val="00B9433A"/>
    <w:rsid w:val="00B948EE"/>
    <w:rsid w:val="00B94BF3"/>
    <w:rsid w:val="00B94F90"/>
    <w:rsid w:val="00B95DC5"/>
    <w:rsid w:val="00B96C58"/>
    <w:rsid w:val="00B96E28"/>
    <w:rsid w:val="00B9796C"/>
    <w:rsid w:val="00B97E34"/>
    <w:rsid w:val="00B97FEF"/>
    <w:rsid w:val="00BA0966"/>
    <w:rsid w:val="00BA10FA"/>
    <w:rsid w:val="00BA1354"/>
    <w:rsid w:val="00BA24F8"/>
    <w:rsid w:val="00BA31AA"/>
    <w:rsid w:val="00BA3AED"/>
    <w:rsid w:val="00BA45D8"/>
    <w:rsid w:val="00BA5828"/>
    <w:rsid w:val="00BA64B3"/>
    <w:rsid w:val="00BA754A"/>
    <w:rsid w:val="00BA7820"/>
    <w:rsid w:val="00BA794C"/>
    <w:rsid w:val="00BB09FB"/>
    <w:rsid w:val="00BB1973"/>
    <w:rsid w:val="00BB238D"/>
    <w:rsid w:val="00BB2514"/>
    <w:rsid w:val="00BB2931"/>
    <w:rsid w:val="00BB37CC"/>
    <w:rsid w:val="00BB48C4"/>
    <w:rsid w:val="00BB68B1"/>
    <w:rsid w:val="00BB6907"/>
    <w:rsid w:val="00BB7A20"/>
    <w:rsid w:val="00BC0E61"/>
    <w:rsid w:val="00BC1426"/>
    <w:rsid w:val="00BC15B1"/>
    <w:rsid w:val="00BC3C06"/>
    <w:rsid w:val="00BC4E8B"/>
    <w:rsid w:val="00BC5622"/>
    <w:rsid w:val="00BC6060"/>
    <w:rsid w:val="00BC6A9F"/>
    <w:rsid w:val="00BC7897"/>
    <w:rsid w:val="00BC7DD4"/>
    <w:rsid w:val="00BD06D7"/>
    <w:rsid w:val="00BD0F35"/>
    <w:rsid w:val="00BD15CA"/>
    <w:rsid w:val="00BD45A4"/>
    <w:rsid w:val="00BD4A5F"/>
    <w:rsid w:val="00BD59AA"/>
    <w:rsid w:val="00BD65E6"/>
    <w:rsid w:val="00BD6AF7"/>
    <w:rsid w:val="00BD73AA"/>
    <w:rsid w:val="00BE150F"/>
    <w:rsid w:val="00BE19EF"/>
    <w:rsid w:val="00BE2245"/>
    <w:rsid w:val="00BE425B"/>
    <w:rsid w:val="00BE51BB"/>
    <w:rsid w:val="00BE7595"/>
    <w:rsid w:val="00BE77D3"/>
    <w:rsid w:val="00BF0138"/>
    <w:rsid w:val="00BF114B"/>
    <w:rsid w:val="00BF1620"/>
    <w:rsid w:val="00BF1AC3"/>
    <w:rsid w:val="00BF373A"/>
    <w:rsid w:val="00BF409D"/>
    <w:rsid w:val="00BF62D2"/>
    <w:rsid w:val="00BF6D9E"/>
    <w:rsid w:val="00BF7004"/>
    <w:rsid w:val="00BF71BB"/>
    <w:rsid w:val="00BF76F7"/>
    <w:rsid w:val="00BF7C9F"/>
    <w:rsid w:val="00C00012"/>
    <w:rsid w:val="00C000A5"/>
    <w:rsid w:val="00C006B4"/>
    <w:rsid w:val="00C008BF"/>
    <w:rsid w:val="00C00938"/>
    <w:rsid w:val="00C00E2A"/>
    <w:rsid w:val="00C025B9"/>
    <w:rsid w:val="00C044B4"/>
    <w:rsid w:val="00C05105"/>
    <w:rsid w:val="00C05202"/>
    <w:rsid w:val="00C05A5D"/>
    <w:rsid w:val="00C05D57"/>
    <w:rsid w:val="00C0654A"/>
    <w:rsid w:val="00C06842"/>
    <w:rsid w:val="00C06DE3"/>
    <w:rsid w:val="00C06F97"/>
    <w:rsid w:val="00C1073F"/>
    <w:rsid w:val="00C10BE6"/>
    <w:rsid w:val="00C11296"/>
    <w:rsid w:val="00C11905"/>
    <w:rsid w:val="00C1234A"/>
    <w:rsid w:val="00C12661"/>
    <w:rsid w:val="00C126E3"/>
    <w:rsid w:val="00C1330F"/>
    <w:rsid w:val="00C13ED7"/>
    <w:rsid w:val="00C14615"/>
    <w:rsid w:val="00C14F48"/>
    <w:rsid w:val="00C15296"/>
    <w:rsid w:val="00C16A27"/>
    <w:rsid w:val="00C1741E"/>
    <w:rsid w:val="00C17750"/>
    <w:rsid w:val="00C2094B"/>
    <w:rsid w:val="00C20DC5"/>
    <w:rsid w:val="00C228C1"/>
    <w:rsid w:val="00C2294E"/>
    <w:rsid w:val="00C22A5B"/>
    <w:rsid w:val="00C23412"/>
    <w:rsid w:val="00C25002"/>
    <w:rsid w:val="00C264C7"/>
    <w:rsid w:val="00C2682A"/>
    <w:rsid w:val="00C26D3D"/>
    <w:rsid w:val="00C271BC"/>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110"/>
    <w:rsid w:val="00C50D18"/>
    <w:rsid w:val="00C51179"/>
    <w:rsid w:val="00C51666"/>
    <w:rsid w:val="00C5282C"/>
    <w:rsid w:val="00C52B76"/>
    <w:rsid w:val="00C52FBE"/>
    <w:rsid w:val="00C5355E"/>
    <w:rsid w:val="00C535E2"/>
    <w:rsid w:val="00C53FC1"/>
    <w:rsid w:val="00C54034"/>
    <w:rsid w:val="00C551D2"/>
    <w:rsid w:val="00C56438"/>
    <w:rsid w:val="00C570B3"/>
    <w:rsid w:val="00C57114"/>
    <w:rsid w:val="00C6009F"/>
    <w:rsid w:val="00C60417"/>
    <w:rsid w:val="00C6046F"/>
    <w:rsid w:val="00C60D55"/>
    <w:rsid w:val="00C62280"/>
    <w:rsid w:val="00C638C2"/>
    <w:rsid w:val="00C651D4"/>
    <w:rsid w:val="00C65886"/>
    <w:rsid w:val="00C6669E"/>
    <w:rsid w:val="00C66C6D"/>
    <w:rsid w:val="00C672B0"/>
    <w:rsid w:val="00C673D3"/>
    <w:rsid w:val="00C70F17"/>
    <w:rsid w:val="00C729C7"/>
    <w:rsid w:val="00C777AD"/>
    <w:rsid w:val="00C80C53"/>
    <w:rsid w:val="00C81195"/>
    <w:rsid w:val="00C81798"/>
    <w:rsid w:val="00C844D6"/>
    <w:rsid w:val="00C85387"/>
    <w:rsid w:val="00C85E52"/>
    <w:rsid w:val="00C86471"/>
    <w:rsid w:val="00C8677B"/>
    <w:rsid w:val="00C86F96"/>
    <w:rsid w:val="00C909C6"/>
    <w:rsid w:val="00C923B7"/>
    <w:rsid w:val="00C93337"/>
    <w:rsid w:val="00C94D4C"/>
    <w:rsid w:val="00C95E56"/>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3F5D"/>
    <w:rsid w:val="00CB56B4"/>
    <w:rsid w:val="00CB7286"/>
    <w:rsid w:val="00CB75C9"/>
    <w:rsid w:val="00CB7947"/>
    <w:rsid w:val="00CC1783"/>
    <w:rsid w:val="00CC1C27"/>
    <w:rsid w:val="00CC1E7F"/>
    <w:rsid w:val="00CC3B46"/>
    <w:rsid w:val="00CC3D8B"/>
    <w:rsid w:val="00CC4E27"/>
    <w:rsid w:val="00CC570C"/>
    <w:rsid w:val="00CC59BB"/>
    <w:rsid w:val="00CC62B6"/>
    <w:rsid w:val="00CC76AA"/>
    <w:rsid w:val="00CC7CD2"/>
    <w:rsid w:val="00CD05CF"/>
    <w:rsid w:val="00CD0DEC"/>
    <w:rsid w:val="00CD0E51"/>
    <w:rsid w:val="00CD0FE6"/>
    <w:rsid w:val="00CD1FAE"/>
    <w:rsid w:val="00CD232F"/>
    <w:rsid w:val="00CD2439"/>
    <w:rsid w:val="00CD279E"/>
    <w:rsid w:val="00CD2878"/>
    <w:rsid w:val="00CD2F92"/>
    <w:rsid w:val="00CD4EB0"/>
    <w:rsid w:val="00CD512D"/>
    <w:rsid w:val="00CD555F"/>
    <w:rsid w:val="00CD5831"/>
    <w:rsid w:val="00CD6F6E"/>
    <w:rsid w:val="00CE157F"/>
    <w:rsid w:val="00CE1966"/>
    <w:rsid w:val="00CE1ED4"/>
    <w:rsid w:val="00CE2216"/>
    <w:rsid w:val="00CE2D9B"/>
    <w:rsid w:val="00CE3014"/>
    <w:rsid w:val="00CE30E5"/>
    <w:rsid w:val="00CE6FC6"/>
    <w:rsid w:val="00CF2056"/>
    <w:rsid w:val="00CF4471"/>
    <w:rsid w:val="00CF51C0"/>
    <w:rsid w:val="00CF5A20"/>
    <w:rsid w:val="00CF5B2A"/>
    <w:rsid w:val="00CF5F57"/>
    <w:rsid w:val="00CF64A7"/>
    <w:rsid w:val="00CF6730"/>
    <w:rsid w:val="00CF70E5"/>
    <w:rsid w:val="00CF7CEC"/>
    <w:rsid w:val="00D0035B"/>
    <w:rsid w:val="00D00B0F"/>
    <w:rsid w:val="00D01BF4"/>
    <w:rsid w:val="00D026EB"/>
    <w:rsid w:val="00D0272C"/>
    <w:rsid w:val="00D03869"/>
    <w:rsid w:val="00D045CE"/>
    <w:rsid w:val="00D05082"/>
    <w:rsid w:val="00D0515F"/>
    <w:rsid w:val="00D06163"/>
    <w:rsid w:val="00D06937"/>
    <w:rsid w:val="00D07AFD"/>
    <w:rsid w:val="00D07BEC"/>
    <w:rsid w:val="00D11749"/>
    <w:rsid w:val="00D117B4"/>
    <w:rsid w:val="00D12A7D"/>
    <w:rsid w:val="00D13AB0"/>
    <w:rsid w:val="00D1519E"/>
    <w:rsid w:val="00D152B7"/>
    <w:rsid w:val="00D16EDC"/>
    <w:rsid w:val="00D17FDE"/>
    <w:rsid w:val="00D201CB"/>
    <w:rsid w:val="00D22786"/>
    <w:rsid w:val="00D228B4"/>
    <w:rsid w:val="00D24E1D"/>
    <w:rsid w:val="00D25AC4"/>
    <w:rsid w:val="00D305F6"/>
    <w:rsid w:val="00D30B25"/>
    <w:rsid w:val="00D3175A"/>
    <w:rsid w:val="00D31A00"/>
    <w:rsid w:val="00D323E4"/>
    <w:rsid w:val="00D32871"/>
    <w:rsid w:val="00D329F6"/>
    <w:rsid w:val="00D33881"/>
    <w:rsid w:val="00D34282"/>
    <w:rsid w:val="00D366B1"/>
    <w:rsid w:val="00D37AE0"/>
    <w:rsid w:val="00D40106"/>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4003"/>
    <w:rsid w:val="00D644C7"/>
    <w:rsid w:val="00D66819"/>
    <w:rsid w:val="00D67101"/>
    <w:rsid w:val="00D71B45"/>
    <w:rsid w:val="00D71F8A"/>
    <w:rsid w:val="00D75603"/>
    <w:rsid w:val="00D75FEE"/>
    <w:rsid w:val="00D760C8"/>
    <w:rsid w:val="00D76933"/>
    <w:rsid w:val="00D76D88"/>
    <w:rsid w:val="00D77CC9"/>
    <w:rsid w:val="00D83D4B"/>
    <w:rsid w:val="00D871C6"/>
    <w:rsid w:val="00D91010"/>
    <w:rsid w:val="00D9143D"/>
    <w:rsid w:val="00D920D1"/>
    <w:rsid w:val="00D94045"/>
    <w:rsid w:val="00D9439D"/>
    <w:rsid w:val="00D96203"/>
    <w:rsid w:val="00DA0D2C"/>
    <w:rsid w:val="00DA0FA7"/>
    <w:rsid w:val="00DA12B0"/>
    <w:rsid w:val="00DA2BA0"/>
    <w:rsid w:val="00DA39AD"/>
    <w:rsid w:val="00DA5B13"/>
    <w:rsid w:val="00DA6917"/>
    <w:rsid w:val="00DA6926"/>
    <w:rsid w:val="00DB0965"/>
    <w:rsid w:val="00DB0E47"/>
    <w:rsid w:val="00DB2BDD"/>
    <w:rsid w:val="00DB31E5"/>
    <w:rsid w:val="00DB4121"/>
    <w:rsid w:val="00DB440A"/>
    <w:rsid w:val="00DB46C3"/>
    <w:rsid w:val="00DB5742"/>
    <w:rsid w:val="00DB5CDF"/>
    <w:rsid w:val="00DB5EDF"/>
    <w:rsid w:val="00DB6C46"/>
    <w:rsid w:val="00DB72B8"/>
    <w:rsid w:val="00DC16AF"/>
    <w:rsid w:val="00DC1741"/>
    <w:rsid w:val="00DC2648"/>
    <w:rsid w:val="00DC2A9A"/>
    <w:rsid w:val="00DC2C67"/>
    <w:rsid w:val="00DC2E2E"/>
    <w:rsid w:val="00DC3002"/>
    <w:rsid w:val="00DC3368"/>
    <w:rsid w:val="00DC4D68"/>
    <w:rsid w:val="00DC6463"/>
    <w:rsid w:val="00DC7822"/>
    <w:rsid w:val="00DC7AF1"/>
    <w:rsid w:val="00DD2CDA"/>
    <w:rsid w:val="00DD2D92"/>
    <w:rsid w:val="00DD3026"/>
    <w:rsid w:val="00DD314E"/>
    <w:rsid w:val="00DD33DC"/>
    <w:rsid w:val="00DD3BB0"/>
    <w:rsid w:val="00DD3E6A"/>
    <w:rsid w:val="00DD61F5"/>
    <w:rsid w:val="00DD7418"/>
    <w:rsid w:val="00DE0449"/>
    <w:rsid w:val="00DE64A6"/>
    <w:rsid w:val="00DE66EB"/>
    <w:rsid w:val="00DE7035"/>
    <w:rsid w:val="00DF12E3"/>
    <w:rsid w:val="00DF2A20"/>
    <w:rsid w:val="00DF3F1D"/>
    <w:rsid w:val="00DF595C"/>
    <w:rsid w:val="00DF779A"/>
    <w:rsid w:val="00DF7EA7"/>
    <w:rsid w:val="00DF7EAA"/>
    <w:rsid w:val="00E04548"/>
    <w:rsid w:val="00E0484E"/>
    <w:rsid w:val="00E063F8"/>
    <w:rsid w:val="00E114D6"/>
    <w:rsid w:val="00E1166E"/>
    <w:rsid w:val="00E11DBD"/>
    <w:rsid w:val="00E13211"/>
    <w:rsid w:val="00E16FB5"/>
    <w:rsid w:val="00E179D6"/>
    <w:rsid w:val="00E20EC3"/>
    <w:rsid w:val="00E21407"/>
    <w:rsid w:val="00E22668"/>
    <w:rsid w:val="00E227D3"/>
    <w:rsid w:val="00E22BFF"/>
    <w:rsid w:val="00E22CB0"/>
    <w:rsid w:val="00E23798"/>
    <w:rsid w:val="00E2539F"/>
    <w:rsid w:val="00E2585D"/>
    <w:rsid w:val="00E25DBD"/>
    <w:rsid w:val="00E25FA2"/>
    <w:rsid w:val="00E2723D"/>
    <w:rsid w:val="00E27C77"/>
    <w:rsid w:val="00E3179E"/>
    <w:rsid w:val="00E31CD9"/>
    <w:rsid w:val="00E32AC9"/>
    <w:rsid w:val="00E354DA"/>
    <w:rsid w:val="00E354F5"/>
    <w:rsid w:val="00E3687E"/>
    <w:rsid w:val="00E40974"/>
    <w:rsid w:val="00E40AAB"/>
    <w:rsid w:val="00E41205"/>
    <w:rsid w:val="00E41F32"/>
    <w:rsid w:val="00E42608"/>
    <w:rsid w:val="00E43536"/>
    <w:rsid w:val="00E435CC"/>
    <w:rsid w:val="00E43DA3"/>
    <w:rsid w:val="00E44B80"/>
    <w:rsid w:val="00E45938"/>
    <w:rsid w:val="00E46491"/>
    <w:rsid w:val="00E47430"/>
    <w:rsid w:val="00E474BD"/>
    <w:rsid w:val="00E50FB7"/>
    <w:rsid w:val="00E5199F"/>
    <w:rsid w:val="00E51B5B"/>
    <w:rsid w:val="00E51D6F"/>
    <w:rsid w:val="00E526DF"/>
    <w:rsid w:val="00E53C15"/>
    <w:rsid w:val="00E54EE6"/>
    <w:rsid w:val="00E5552F"/>
    <w:rsid w:val="00E5554E"/>
    <w:rsid w:val="00E56715"/>
    <w:rsid w:val="00E56C2C"/>
    <w:rsid w:val="00E57F8E"/>
    <w:rsid w:val="00E611C8"/>
    <w:rsid w:val="00E62EEB"/>
    <w:rsid w:val="00E6344A"/>
    <w:rsid w:val="00E64E69"/>
    <w:rsid w:val="00E64FB7"/>
    <w:rsid w:val="00E65C2D"/>
    <w:rsid w:val="00E666C3"/>
    <w:rsid w:val="00E669A1"/>
    <w:rsid w:val="00E67931"/>
    <w:rsid w:val="00E679BA"/>
    <w:rsid w:val="00E70243"/>
    <w:rsid w:val="00E70E29"/>
    <w:rsid w:val="00E70E2E"/>
    <w:rsid w:val="00E72CC6"/>
    <w:rsid w:val="00E73D44"/>
    <w:rsid w:val="00E7494A"/>
    <w:rsid w:val="00E74BE2"/>
    <w:rsid w:val="00E74C66"/>
    <w:rsid w:val="00E75933"/>
    <w:rsid w:val="00E77A1B"/>
    <w:rsid w:val="00E808BE"/>
    <w:rsid w:val="00E81E36"/>
    <w:rsid w:val="00E81E40"/>
    <w:rsid w:val="00E82ECE"/>
    <w:rsid w:val="00E84B2D"/>
    <w:rsid w:val="00E86B9B"/>
    <w:rsid w:val="00E8713B"/>
    <w:rsid w:val="00E90774"/>
    <w:rsid w:val="00E90C61"/>
    <w:rsid w:val="00E92A82"/>
    <w:rsid w:val="00E92AA8"/>
    <w:rsid w:val="00E9344E"/>
    <w:rsid w:val="00E93E39"/>
    <w:rsid w:val="00E94391"/>
    <w:rsid w:val="00E97E2B"/>
    <w:rsid w:val="00EA08CA"/>
    <w:rsid w:val="00EA0C0C"/>
    <w:rsid w:val="00EA1291"/>
    <w:rsid w:val="00EA2AEA"/>
    <w:rsid w:val="00EA332B"/>
    <w:rsid w:val="00EA3D36"/>
    <w:rsid w:val="00EA40AA"/>
    <w:rsid w:val="00EA57E2"/>
    <w:rsid w:val="00EA642E"/>
    <w:rsid w:val="00EA7186"/>
    <w:rsid w:val="00EB018B"/>
    <w:rsid w:val="00EB0323"/>
    <w:rsid w:val="00EB1003"/>
    <w:rsid w:val="00EB167E"/>
    <w:rsid w:val="00EB24ED"/>
    <w:rsid w:val="00EB2A00"/>
    <w:rsid w:val="00EB309B"/>
    <w:rsid w:val="00EB3AA2"/>
    <w:rsid w:val="00EB4763"/>
    <w:rsid w:val="00EB6CB7"/>
    <w:rsid w:val="00EB7E3A"/>
    <w:rsid w:val="00EC00D3"/>
    <w:rsid w:val="00EC078B"/>
    <w:rsid w:val="00EC07A0"/>
    <w:rsid w:val="00EC08E4"/>
    <w:rsid w:val="00EC14B4"/>
    <w:rsid w:val="00EC3086"/>
    <w:rsid w:val="00EC3CB4"/>
    <w:rsid w:val="00EC443E"/>
    <w:rsid w:val="00EC4D83"/>
    <w:rsid w:val="00EC4EEE"/>
    <w:rsid w:val="00EC634F"/>
    <w:rsid w:val="00EC6848"/>
    <w:rsid w:val="00EC6C6E"/>
    <w:rsid w:val="00EC7B97"/>
    <w:rsid w:val="00EC7E46"/>
    <w:rsid w:val="00ED00A9"/>
    <w:rsid w:val="00ED049C"/>
    <w:rsid w:val="00ED07B7"/>
    <w:rsid w:val="00ED19A7"/>
    <w:rsid w:val="00ED19D7"/>
    <w:rsid w:val="00ED2167"/>
    <w:rsid w:val="00ED351E"/>
    <w:rsid w:val="00ED4B27"/>
    <w:rsid w:val="00ED531D"/>
    <w:rsid w:val="00ED543C"/>
    <w:rsid w:val="00ED656C"/>
    <w:rsid w:val="00ED6BA4"/>
    <w:rsid w:val="00ED7DA7"/>
    <w:rsid w:val="00EE0598"/>
    <w:rsid w:val="00EE311C"/>
    <w:rsid w:val="00EE56FF"/>
    <w:rsid w:val="00EE57EB"/>
    <w:rsid w:val="00EE5886"/>
    <w:rsid w:val="00EE5FBF"/>
    <w:rsid w:val="00EE6472"/>
    <w:rsid w:val="00EE76F2"/>
    <w:rsid w:val="00EF0769"/>
    <w:rsid w:val="00EF0D7C"/>
    <w:rsid w:val="00EF0E91"/>
    <w:rsid w:val="00EF17A5"/>
    <w:rsid w:val="00EF314C"/>
    <w:rsid w:val="00EF383B"/>
    <w:rsid w:val="00EF40E2"/>
    <w:rsid w:val="00EF4B7A"/>
    <w:rsid w:val="00EF61C1"/>
    <w:rsid w:val="00EF6E68"/>
    <w:rsid w:val="00EF76DB"/>
    <w:rsid w:val="00F005FD"/>
    <w:rsid w:val="00F016BE"/>
    <w:rsid w:val="00F02C04"/>
    <w:rsid w:val="00F02D37"/>
    <w:rsid w:val="00F03AF1"/>
    <w:rsid w:val="00F04A4A"/>
    <w:rsid w:val="00F04BCD"/>
    <w:rsid w:val="00F05177"/>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CF0"/>
    <w:rsid w:val="00F22232"/>
    <w:rsid w:val="00F2228E"/>
    <w:rsid w:val="00F22D3C"/>
    <w:rsid w:val="00F23D66"/>
    <w:rsid w:val="00F24974"/>
    <w:rsid w:val="00F24E6F"/>
    <w:rsid w:val="00F26069"/>
    <w:rsid w:val="00F26B7E"/>
    <w:rsid w:val="00F2729F"/>
    <w:rsid w:val="00F27D7D"/>
    <w:rsid w:val="00F3002B"/>
    <w:rsid w:val="00F30BC9"/>
    <w:rsid w:val="00F3206D"/>
    <w:rsid w:val="00F32462"/>
    <w:rsid w:val="00F32FF7"/>
    <w:rsid w:val="00F33EDE"/>
    <w:rsid w:val="00F3568B"/>
    <w:rsid w:val="00F377CD"/>
    <w:rsid w:val="00F37884"/>
    <w:rsid w:val="00F40C3B"/>
    <w:rsid w:val="00F40CE0"/>
    <w:rsid w:val="00F42A5C"/>
    <w:rsid w:val="00F42C15"/>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169"/>
    <w:rsid w:val="00F574D0"/>
    <w:rsid w:val="00F6031F"/>
    <w:rsid w:val="00F61664"/>
    <w:rsid w:val="00F61B99"/>
    <w:rsid w:val="00F61FF1"/>
    <w:rsid w:val="00F636E5"/>
    <w:rsid w:val="00F64C45"/>
    <w:rsid w:val="00F6502B"/>
    <w:rsid w:val="00F65835"/>
    <w:rsid w:val="00F6612A"/>
    <w:rsid w:val="00F66724"/>
    <w:rsid w:val="00F67F04"/>
    <w:rsid w:val="00F701AA"/>
    <w:rsid w:val="00F70207"/>
    <w:rsid w:val="00F702CB"/>
    <w:rsid w:val="00F7121D"/>
    <w:rsid w:val="00F716D4"/>
    <w:rsid w:val="00F71AC2"/>
    <w:rsid w:val="00F739D4"/>
    <w:rsid w:val="00F75568"/>
    <w:rsid w:val="00F77891"/>
    <w:rsid w:val="00F77D43"/>
    <w:rsid w:val="00F80953"/>
    <w:rsid w:val="00F80B5C"/>
    <w:rsid w:val="00F81312"/>
    <w:rsid w:val="00F81B90"/>
    <w:rsid w:val="00F81E6F"/>
    <w:rsid w:val="00F82679"/>
    <w:rsid w:val="00F82FF3"/>
    <w:rsid w:val="00F83378"/>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4ECD"/>
    <w:rsid w:val="00F9580B"/>
    <w:rsid w:val="00F95F15"/>
    <w:rsid w:val="00F975CA"/>
    <w:rsid w:val="00FA0B60"/>
    <w:rsid w:val="00FA0F09"/>
    <w:rsid w:val="00FA2528"/>
    <w:rsid w:val="00FA3FD1"/>
    <w:rsid w:val="00FA4100"/>
    <w:rsid w:val="00FA5274"/>
    <w:rsid w:val="00FA5524"/>
    <w:rsid w:val="00FA5535"/>
    <w:rsid w:val="00FA7206"/>
    <w:rsid w:val="00FA7EFB"/>
    <w:rsid w:val="00FB02D1"/>
    <w:rsid w:val="00FB0816"/>
    <w:rsid w:val="00FB0833"/>
    <w:rsid w:val="00FB08C2"/>
    <w:rsid w:val="00FB1468"/>
    <w:rsid w:val="00FB3DD1"/>
    <w:rsid w:val="00FB51FD"/>
    <w:rsid w:val="00FB5667"/>
    <w:rsid w:val="00FB7A97"/>
    <w:rsid w:val="00FC137E"/>
    <w:rsid w:val="00FC1601"/>
    <w:rsid w:val="00FC1B9B"/>
    <w:rsid w:val="00FC318D"/>
    <w:rsid w:val="00FC36CF"/>
    <w:rsid w:val="00FC40BC"/>
    <w:rsid w:val="00FC41FC"/>
    <w:rsid w:val="00FC4F6E"/>
    <w:rsid w:val="00FC506C"/>
    <w:rsid w:val="00FC578C"/>
    <w:rsid w:val="00FC58C5"/>
    <w:rsid w:val="00FC5A37"/>
    <w:rsid w:val="00FC7836"/>
    <w:rsid w:val="00FD13EA"/>
    <w:rsid w:val="00FD5EC4"/>
    <w:rsid w:val="00FD7858"/>
    <w:rsid w:val="00FD7A8D"/>
    <w:rsid w:val="00FE11A0"/>
    <w:rsid w:val="00FE1330"/>
    <w:rsid w:val="00FE1CE5"/>
    <w:rsid w:val="00FE2832"/>
    <w:rsid w:val="00FE2D38"/>
    <w:rsid w:val="00FE30E7"/>
    <w:rsid w:val="00FE3929"/>
    <w:rsid w:val="00FE3E32"/>
    <w:rsid w:val="00FE5D01"/>
    <w:rsid w:val="00FE7BF1"/>
    <w:rsid w:val="00FF097B"/>
    <w:rsid w:val="00FF0B6E"/>
    <w:rsid w:val="00FF1C1B"/>
    <w:rsid w:val="00FF2067"/>
    <w:rsid w:val="00FF3BC4"/>
    <w:rsid w:val="00FF4B66"/>
    <w:rsid w:val="00FF5939"/>
    <w:rsid w:val="00FF688E"/>
    <w:rsid w:val="00FF7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7C5BD5"/>
    <w:pPr>
      <w:numPr>
        <w:numId w:val="34"/>
      </w:numPr>
      <w:contextualSpacing/>
    </w:pPr>
    <w:rPr>
      <w:b/>
      <w:szCs w:val="22"/>
    </w:rPr>
  </w:style>
  <w:style w:type="character" w:customStyle="1" w:styleId="QuestionstyleChar">
    <w:name w:val="Question style Char"/>
    <w:basedOn w:val="DefaultParagraphFont"/>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paragraph" w:customStyle="1" w:styleId="ABody10pt">
    <w:name w:val="A Body 10 pt"/>
    <w:basedOn w:val="Normal"/>
    <w:qFormat/>
    <w:rsid w:val="005E3875"/>
    <w:pPr>
      <w:spacing w:after="200" w:line="240" w:lineRule="auto"/>
      <w:ind w:right="2160"/>
      <w:jc w:val="left"/>
    </w:pPr>
    <w:rPr>
      <w:rFonts w:ascii="Neue Haas Grotesk Text Pro" w:eastAsiaTheme="minorHAnsi" w:hAnsi="Neue Haas Grotesk Text Pro" w:cs="Open Sans"/>
      <w:color w:val="auto"/>
      <w:sz w:val="20"/>
      <w:szCs w:val="22"/>
    </w:rPr>
  </w:style>
  <w:style w:type="paragraph" w:customStyle="1" w:styleId="Afootnote">
    <w:name w:val="A footnote"/>
    <w:basedOn w:val="FootnoteText"/>
    <w:link w:val="AfootnoteChar"/>
    <w:qFormat/>
    <w:rsid w:val="00A93353"/>
    <w:pPr>
      <w:spacing w:after="0" w:line="240" w:lineRule="auto"/>
      <w:ind w:left="360" w:right="2160" w:hanging="360"/>
      <w:jc w:val="left"/>
    </w:pPr>
    <w:rPr>
      <w:rFonts w:ascii="Neue Haas Grotesk Text Pro" w:eastAsiaTheme="minorHAnsi" w:hAnsi="Neue Haas Grotesk Text Pro" w:cstheme="minorBidi"/>
      <w:color w:val="auto"/>
    </w:rPr>
  </w:style>
  <w:style w:type="paragraph" w:customStyle="1" w:styleId="ABullet">
    <w:name w:val="A Bullet"/>
    <w:basedOn w:val="ListBullet"/>
    <w:qFormat/>
    <w:rsid w:val="00A93353"/>
    <w:pPr>
      <w:numPr>
        <w:numId w:val="38"/>
      </w:numPr>
      <w:tabs>
        <w:tab w:val="num" w:pos="735"/>
      </w:tabs>
      <w:spacing w:before="0" w:after="200" w:line="240" w:lineRule="auto"/>
      <w:ind w:left="0" w:right="2160" w:firstLine="0"/>
      <w:jc w:val="left"/>
    </w:pPr>
    <w:rPr>
      <w:rFonts w:ascii="Neue Haas Grotesk Text Pro" w:eastAsiaTheme="minorHAnsi" w:hAnsi="Neue Haas Grotesk Text Pro" w:cstheme="minorBidi"/>
      <w:color w:val="auto"/>
      <w:sz w:val="20"/>
      <w:szCs w:val="22"/>
    </w:rPr>
  </w:style>
  <w:style w:type="character" w:customStyle="1" w:styleId="AfootnoteChar">
    <w:name w:val="A footnote Char"/>
    <w:basedOn w:val="FootnoteTextChar"/>
    <w:link w:val="Afootnote"/>
    <w:rsid w:val="00A93353"/>
    <w:rPr>
      <w:rFonts w:ascii="Neue Haas Grotesk Text Pro" w:eastAsiaTheme="minorHAnsi" w:hAnsi="Neue Haas Grotesk Text Pro" w:cstheme="minorBidi"/>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esma.europa.eu/sites/default/files/library/esma34-32-352_qa_aifmd.pdf" TargetMode="External"/><Relationship Id="rId2" Type="http://schemas.openxmlformats.org/officeDocument/2006/relationships/hyperlink" Target="https://www.esma.europa.eu/sites/default/files/2025-06/ESMA34-2087785638-1548_Final_report_on_the_Technical_Advice_on_the_review_of_the_UCITS_EAD.pdf" TargetMode="External"/><Relationship Id="rId1" Type="http://schemas.openxmlformats.org/officeDocument/2006/relationships/hyperlink" Target="https://www.aima.org/resource/aima-responds-to-european-commission-call-for-evidence-on-rationalising-reporting-requirements-as-part-of-the-burden-reduction-package-initiative.html" TargetMode="External"/><Relationship Id="rId6" Type="http://schemas.openxmlformats.org/officeDocument/2006/relationships/hyperlink" Target="https://www.sec.gov/newsroom/speeches-statements/atkins-statement-open-meeting-061125" TargetMode="External"/><Relationship Id="rId5" Type="http://schemas.openxmlformats.org/officeDocument/2006/relationships/hyperlink" Target="https://www.iosco.org/library/pubdocs/pdf/IOSCOPD645.pdf" TargetMode="External"/><Relationship Id="rId4" Type="http://schemas.openxmlformats.org/officeDocument/2006/relationships/hyperlink" Target="http://www.aima.org/resource/aima-response-to-esma-call-for-evidence-on-a-comprehensive-approach-for-the-simplification-of-financial-transaction-reporting.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A9C8E1C550046A338A91C668A8EF1" ma:contentTypeVersion="18" ma:contentTypeDescription="Create a new document." ma:contentTypeScope="" ma:versionID="7856fa038712a0ec4de4c6073cb6b75b">
  <xsd:schema xmlns:xsd="http://www.w3.org/2001/XMLSchema" xmlns:xs="http://www.w3.org/2001/XMLSchema" xmlns:p="http://schemas.microsoft.com/office/2006/metadata/properties" xmlns:ns2="be561825-94c0-4c62-a85c-c77844bc56d9" xmlns:ns3="070258fd-6908-4ba7-80b1-ffadf41f6455" targetNamespace="http://schemas.microsoft.com/office/2006/metadata/properties" ma:root="true" ma:fieldsID="60779e7777009015ef220e798b1adfed" ns2:_="" ns3:_="">
    <xsd:import namespace="be561825-94c0-4c62-a85c-c77844bc56d9"/>
    <xsd:import namespace="070258fd-6908-4ba7-80b1-ffadf41f64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61825-94c0-4c62-a85c-c77844bc56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b440d0-4992-4e57-aa46-2cdef7ecbbaf}" ma:internalName="TaxCatchAll" ma:showField="CatchAllData" ma:web="be561825-94c0-4c62-a85c-c77844bc56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0258fd-6908-4ba7-80b1-ffadf41f64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150ef45-74aa-4e9b-ad44-a9c71088606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e561825-94c0-4c62-a85c-c77844bc56d9" xsi:nil="true"/>
    <SharedWithUsers xmlns="be561825-94c0-4c62-a85c-c77844bc56d9">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070258fd-6908-4ba7-80b1-ffadf41f6455">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491D7B-A41A-46E8-AEB2-0BB90747D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61825-94c0-4c62-a85c-c77844bc56d9"/>
    <ds:schemaRef ds:uri="070258fd-6908-4ba7-80b1-ffadf41f6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be561825-94c0-4c62-a85c-c77844bc56d9"/>
    <ds:schemaRef ds:uri="070258fd-6908-4ba7-80b1-ffadf41f6455"/>
  </ds:schemaRefs>
</ds:datastoreItem>
</file>

<file path=customXml/itemProps5.xml><?xml version="1.0" encoding="utf-8"?>
<ds:datastoreItem xmlns:ds="http://schemas.openxmlformats.org/officeDocument/2006/customXml" ds:itemID="{7FB30FA8-3D72-457A-9AB5-7BB1703E6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10421</Words>
  <Characters>59403</Characters>
  <Application>Microsoft Office Word</Application>
  <DocSecurity>8</DocSecurity>
  <Lines>495</Lines>
  <Paragraphs>139</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69685</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Danny O'Connell</cp:lastModifiedBy>
  <cp:revision>2</cp:revision>
  <cp:lastPrinted>2015-02-18T11:01:00Z</cp:lastPrinted>
  <dcterms:created xsi:type="dcterms:W3CDTF">2025-09-19T16:12:00Z</dcterms:created>
  <dcterms:modified xsi:type="dcterms:W3CDTF">2025-09-19T16:12:00Z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0x0101000A4A9C8E1C550046A338A91C668A8EF1</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