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Untertitel"/>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25FEC"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Untertitel"/>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enabsatz"/>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enabsatz"/>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enabsatz"/>
        <w:numPr>
          <w:ilvl w:val="0"/>
          <w:numId w:val="35"/>
        </w:numPr>
        <w:contextualSpacing w:val="0"/>
      </w:pPr>
      <w:r w:rsidRPr="005B6B12">
        <w:t>contain a clear rationale; and</w:t>
      </w:r>
    </w:p>
    <w:p w14:paraId="30D73002" w14:textId="77777777" w:rsidR="00E70E2E" w:rsidRPr="005B6B12" w:rsidRDefault="00E70E2E" w:rsidP="00E43387">
      <w:pPr>
        <w:pStyle w:val="Listenabsatz"/>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enabsatz"/>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Listenabsatz"/>
        <w:numPr>
          <w:ilvl w:val="0"/>
          <w:numId w:val="35"/>
        </w:numPr>
        <w:contextualSpacing w:val="0"/>
      </w:pPr>
      <w:r w:rsidRPr="00863BFD">
        <w:t>Please do not remove tags of the type &lt;ESMA_QUESTION</w:t>
      </w:r>
      <w:r w:rsidR="00C05202">
        <w:t>_</w:t>
      </w:r>
      <w:r w:rsidR="00F136FD">
        <w:t>MARG</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enabsatz"/>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Listenabsatz"/>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w:t>
      </w:r>
      <w:proofErr w:type="spellStart"/>
      <w:r w:rsidRPr="00863BFD">
        <w:t>ESMA_</w:t>
      </w:r>
      <w:r w:rsidR="005B277C">
        <w:t>MARG</w:t>
      </w:r>
      <w:r w:rsidRPr="00863BFD">
        <w:t>_nameofrespondent</w:t>
      </w:r>
      <w:proofErr w:type="spellEnd"/>
      <w:r w:rsidRPr="00863BFD">
        <w:t xml:space="preserve">. </w:t>
      </w:r>
    </w:p>
    <w:p w14:paraId="115A7ABF" w14:textId="1B4EC248" w:rsidR="009D6E99" w:rsidRDefault="009D6E99" w:rsidP="009D6E99">
      <w:pPr>
        <w:pStyle w:val="Listenabsatz"/>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Listenabsatz"/>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1"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berschrift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tzhaltertext"/>
            </w:rPr>
            <w:id w:val="651570699"/>
            <w:text/>
          </w:sdtPr>
          <w:sdtContent>
            <w:tc>
              <w:tcPr>
                <w:tcW w:w="5595" w:type="dxa"/>
                <w:shd w:val="clear" w:color="auto" w:fill="auto"/>
                <w:vAlign w:val="center"/>
              </w:tcPr>
              <w:p w14:paraId="633DB1B6" w14:textId="030FD351" w:rsidR="00C2682A" w:rsidRPr="00104E00" w:rsidRDefault="00AB1126" w:rsidP="00104E00">
                <w:pPr>
                  <w:jc w:val="left"/>
                  <w:rPr>
                    <w:rStyle w:val="Platzhaltertext"/>
                  </w:rPr>
                </w:pPr>
                <w:r w:rsidRPr="00AB1126">
                  <w:rPr>
                    <w:rStyle w:val="Platzhaltertext"/>
                  </w:rPr>
                  <w:t>BDEW German Association of Energy and Water Industries</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229DD58" w:rsidR="00C2682A" w:rsidRPr="00104E00" w:rsidRDefault="00AB1126" w:rsidP="00104E00">
            <w:pPr>
              <w:jc w:val="left"/>
            </w:pPr>
            <w:sdt>
              <w:sdtPr>
                <w:alias w:val="Activity"/>
                <w:tag w:val="Activity"/>
                <w:id w:val="-1255357665"/>
                <w:showingPlcHdr/>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t xml:space="preserve">     </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7CC07274" w:rsidR="00C2682A" w:rsidRPr="00104E00" w:rsidRDefault="00AB1126"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5BED067D" w:rsidR="00C2682A" w:rsidRPr="00104E00" w:rsidRDefault="00AB1126" w:rsidP="00104E00">
                <w:pPr>
                  <w:jc w:val="left"/>
                </w:pPr>
                <w:r>
                  <w:t>Germany</w:t>
                </w:r>
              </w:p>
            </w:tc>
          </w:sdtContent>
        </w:sdt>
      </w:tr>
      <w:permEnd w:id="1727412903"/>
    </w:tbl>
    <w:p w14:paraId="398E9C9E" w14:textId="10C9CC3D" w:rsidR="00C2682A" w:rsidRDefault="00C2682A" w:rsidP="00F716D4"/>
    <w:p w14:paraId="7F986E69" w14:textId="77777777" w:rsidR="00FA4100" w:rsidRDefault="00BB1973" w:rsidP="00FA4100">
      <w:pPr>
        <w:pStyle w:val="berschrift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06798388" w14:textId="77777777" w:rsidR="00AB1126" w:rsidRPr="00447615" w:rsidRDefault="00AB1126" w:rsidP="00AB1126">
      <w:pPr>
        <w:spacing w:line="240" w:lineRule="auto"/>
        <w:rPr>
          <w:lang w:val="en-US"/>
        </w:rPr>
      </w:pPr>
      <w:r w:rsidRPr="00447615">
        <w:rPr>
          <w:lang w:val="en-US"/>
        </w:rPr>
        <w:t xml:space="preserve">BDEW supports the proposed requirements regarding the transparency of </w:t>
      </w:r>
      <w:r>
        <w:rPr>
          <w:lang w:val="en-US"/>
        </w:rPr>
        <w:t>Central Counterparties (</w:t>
      </w:r>
      <w:r w:rsidRPr="00447615">
        <w:rPr>
          <w:lang w:val="en-US"/>
        </w:rPr>
        <w:t>CCPs</w:t>
      </w:r>
      <w:r>
        <w:rPr>
          <w:lang w:val="en-US"/>
        </w:rPr>
        <w:t>)</w:t>
      </w:r>
      <w:r w:rsidRPr="00447615">
        <w:rPr>
          <w:lang w:val="en-US"/>
        </w:rPr>
        <w:t xml:space="preserve"> margin model design and operations. We particularly welcome the inclusion of clear descriptions of the model type, parameters, add-ons, and governance structures. This level of detail will significantly contribute to a better understanding of margin behavior and liquidity planning for clearing members.</w:t>
      </w:r>
      <w:r>
        <w:rPr>
          <w:lang w:val="en-US"/>
        </w:rPr>
        <w:t xml:space="preserve"> </w:t>
      </w:r>
      <w:r w:rsidRPr="008F2204">
        <w:rPr>
          <w:lang w:val="en-US"/>
        </w:rPr>
        <w:t>While Article 38(7) of EMIR clearly mandates that CCPs provide this information to their clearing members, we believe the effectiveness of these transparency measures can only be fully realized if similar transparency is also ensured further down the clearing chain, namely, from Clearing Service Providers (CSPs) to their clients. Most of the documentation of CCP margin models and their explanation is already published on their web page. Nevertheless, data relating to specific client positions, which are not publicly available, must be actively communicated and explained by CSPs to their clients.</w:t>
      </w:r>
    </w:p>
    <w:p w14:paraId="7EB7A476" w14:textId="77777777" w:rsidR="00AB1126" w:rsidRPr="00447615" w:rsidRDefault="00AB1126" w:rsidP="00AB1126">
      <w:pPr>
        <w:spacing w:line="240" w:lineRule="auto"/>
        <w:rPr>
          <w:lang w:val="en-US"/>
        </w:rPr>
      </w:pPr>
      <w:r w:rsidRPr="00447615">
        <w:rPr>
          <w:lang w:val="en-US"/>
        </w:rPr>
        <w:t>However, we recommend that ESMA ensures that the information is presented in a way that is also comprehensible for smaller market participants with limited quantitative resources. Additionally, a harmonized format for documentation across CCPs would improve comparability and usability across the market.</w:t>
      </w:r>
    </w:p>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lastRenderedPageBreak/>
        <w:t>&lt;ESMA_QUESTION_</w:t>
      </w:r>
      <w:r w:rsidR="005B277C">
        <w:t>MARG</w:t>
      </w:r>
      <w:r>
        <w:t>_2&gt;</w:t>
      </w:r>
    </w:p>
    <w:p w14:paraId="76CBB382" w14:textId="77777777" w:rsidR="00AB1126" w:rsidRDefault="00AB1126" w:rsidP="00AB1126">
      <w:pPr>
        <w:spacing w:line="240" w:lineRule="auto"/>
        <w:rPr>
          <w:lang w:val="en-US"/>
        </w:rPr>
      </w:pPr>
      <w:r w:rsidRPr="00447615">
        <w:rPr>
          <w:lang w:val="en-US"/>
        </w:rPr>
        <w:t>BDEW agrees with ESMA's proposal to require CCPs to disclose assumptions and limitations of their margin models, including performance in stressed market conditions and potential model breaches. These disclosures are crucial for robust risk and liquidity management, especially for energy and infrastructure companies operating under volatile market conditions.</w:t>
      </w:r>
    </w:p>
    <w:p w14:paraId="7FB2808D" w14:textId="77777777" w:rsidR="00AB1126" w:rsidRPr="00447615" w:rsidRDefault="00AB1126" w:rsidP="00AB1126">
      <w:pPr>
        <w:spacing w:line="240" w:lineRule="auto"/>
        <w:rPr>
          <w:lang w:val="en-US"/>
        </w:rPr>
      </w:pPr>
      <w:r>
        <w:rPr>
          <w:lang w:val="en-US"/>
        </w:rPr>
        <w:t>As</w:t>
      </w:r>
      <w:r w:rsidRPr="00300021">
        <w:rPr>
          <w:lang w:val="en-US"/>
        </w:rPr>
        <w:t xml:space="preserve"> for question 1, the proposed information when not relating to the exclusive bilateral relation between the CCP and clearing member (including CSP) should also be made accessible to the clients and indirect clients of the clearing members.</w:t>
      </w:r>
      <w:r>
        <w:rPr>
          <w:lang w:val="en-US"/>
        </w:rPr>
        <w:t xml:space="preserve"> Only then, t</w:t>
      </w:r>
      <w:r w:rsidRPr="00300021">
        <w:t>he effectiveness of these transparency measures can be fully realised if similar transparency is also ensured further down the clearing chain, namely, from CSPs to their clients.</w:t>
      </w:r>
    </w:p>
    <w:p w14:paraId="7DFAAB03" w14:textId="77777777" w:rsidR="00AB1126" w:rsidRPr="00447615" w:rsidRDefault="00AB1126" w:rsidP="00AB1126">
      <w:pPr>
        <w:spacing w:line="240" w:lineRule="auto"/>
        <w:rPr>
          <w:lang w:val="en-US"/>
        </w:rPr>
      </w:pPr>
      <w:r w:rsidRPr="00447615">
        <w:rPr>
          <w:lang w:val="en-US"/>
        </w:rPr>
        <w:t>We would further suggest the inclusion of early-warning mechanisms where key assumptions are close to being breached, to enhance proactive margin management. Moreover, independent third-party validation of the model assumptions and stress testing methodologies would add credibility and comparability.</w:t>
      </w:r>
    </w:p>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t xml:space="preserve">Do </w:t>
      </w:r>
      <w:r w:rsidR="0052521D" w:rsidRPr="0052521D">
        <w:t xml:space="preserve">you agree with the proposal </w:t>
      </w:r>
      <w:proofErr w:type="gramStart"/>
      <w:r w:rsidR="0052521D" w:rsidRPr="0052521D">
        <w:t>with regard to</w:t>
      </w:r>
      <w:proofErr w:type="gramEnd"/>
      <w:r w:rsidR="0052521D" w:rsidRPr="0052521D">
        <w:t xml:space="preserve">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3A4DE285" w14:textId="77777777" w:rsidR="00AB1126" w:rsidRPr="00447615" w:rsidRDefault="00AB1126" w:rsidP="00AB1126">
      <w:pPr>
        <w:spacing w:line="240" w:lineRule="auto"/>
        <w:rPr>
          <w:lang w:val="en-US"/>
        </w:rPr>
      </w:pPr>
      <w:r w:rsidRPr="00447615">
        <w:rPr>
          <w:lang w:val="en-US"/>
        </w:rPr>
        <w:t>BDEW fully supports the requirement under point (c) of Article 38(7) of EMIR that CCPs make their margin model documentation available to clearing members. In our view, comprehensive, accessible and up-to-date documentation is critical to enable market participants to understand and manage margin-related risks effectively.</w:t>
      </w:r>
    </w:p>
    <w:p w14:paraId="58F7E095" w14:textId="77777777" w:rsidR="00AB1126" w:rsidRPr="00447615" w:rsidRDefault="00AB1126" w:rsidP="00AB1126">
      <w:pPr>
        <w:spacing w:line="240" w:lineRule="auto"/>
        <w:rPr>
          <w:lang w:val="en-US"/>
        </w:rPr>
      </w:pPr>
      <w:r w:rsidRPr="00447615">
        <w:rPr>
          <w:lang w:val="en-US"/>
        </w:rPr>
        <w:t>We propose the following additional clarifications and enhancements:</w:t>
      </w:r>
    </w:p>
    <w:p w14:paraId="386F8CEB" w14:textId="77777777" w:rsidR="00AB1126" w:rsidRPr="00447615" w:rsidRDefault="00AB1126" w:rsidP="00AB1126">
      <w:pPr>
        <w:numPr>
          <w:ilvl w:val="0"/>
          <w:numId w:val="37"/>
        </w:numPr>
        <w:spacing w:after="120" w:line="240" w:lineRule="auto"/>
        <w:jc w:val="left"/>
        <w:rPr>
          <w:lang w:val="en-US"/>
        </w:rPr>
      </w:pPr>
      <w:r w:rsidRPr="00447615">
        <w:rPr>
          <w:lang w:val="en-US"/>
        </w:rPr>
        <w:t>Structured Documentation Approach:</w:t>
      </w:r>
      <w:r w:rsidRPr="00447615">
        <w:rPr>
          <w:lang w:val="en-US"/>
        </w:rPr>
        <w:br/>
        <w:t>CCPs should be required to provide documentation in a modular format, clearly separating:</w:t>
      </w:r>
    </w:p>
    <w:p w14:paraId="2A7DF694" w14:textId="77777777" w:rsidR="00AB1126" w:rsidRPr="00447615" w:rsidRDefault="00AB1126" w:rsidP="00AB1126">
      <w:pPr>
        <w:numPr>
          <w:ilvl w:val="1"/>
          <w:numId w:val="37"/>
        </w:numPr>
        <w:spacing w:after="120" w:line="240" w:lineRule="auto"/>
        <w:jc w:val="left"/>
        <w:rPr>
          <w:lang w:val="en-US"/>
        </w:rPr>
      </w:pPr>
      <w:r w:rsidRPr="00447615">
        <w:rPr>
          <w:lang w:val="en-US"/>
        </w:rPr>
        <w:t xml:space="preserve">Model methodology (e.g. SPAN, </w:t>
      </w:r>
      <w:proofErr w:type="spellStart"/>
      <w:r w:rsidRPr="00447615">
        <w:rPr>
          <w:lang w:val="en-US"/>
        </w:rPr>
        <w:t>VaR</w:t>
      </w:r>
      <w:proofErr w:type="spellEnd"/>
      <w:r w:rsidRPr="00447615">
        <w:rPr>
          <w:lang w:val="en-US"/>
        </w:rPr>
        <w:t>, historical simulation),</w:t>
      </w:r>
    </w:p>
    <w:p w14:paraId="3D695220" w14:textId="77777777" w:rsidR="00AB1126" w:rsidRPr="00447615" w:rsidRDefault="00AB1126" w:rsidP="00AB1126">
      <w:pPr>
        <w:numPr>
          <w:ilvl w:val="1"/>
          <w:numId w:val="37"/>
        </w:numPr>
        <w:spacing w:after="120" w:line="240" w:lineRule="auto"/>
        <w:jc w:val="left"/>
        <w:rPr>
          <w:lang w:val="en-US"/>
        </w:rPr>
      </w:pPr>
      <w:r w:rsidRPr="00447615">
        <w:rPr>
          <w:lang w:val="en-US"/>
        </w:rPr>
        <w:t>Model parameters and calibration procedures,</w:t>
      </w:r>
    </w:p>
    <w:p w14:paraId="0C805E9C" w14:textId="77777777" w:rsidR="00AB1126" w:rsidRPr="00447615" w:rsidRDefault="00AB1126" w:rsidP="00AB1126">
      <w:pPr>
        <w:numPr>
          <w:ilvl w:val="1"/>
          <w:numId w:val="37"/>
        </w:numPr>
        <w:spacing w:after="120" w:line="240" w:lineRule="auto"/>
        <w:jc w:val="left"/>
        <w:rPr>
          <w:lang w:val="en-US"/>
        </w:rPr>
      </w:pPr>
      <w:r w:rsidRPr="00447615">
        <w:rPr>
          <w:lang w:val="en-US"/>
        </w:rPr>
        <w:t>Margin add-ons and their triggers,</w:t>
      </w:r>
    </w:p>
    <w:p w14:paraId="33BA3700" w14:textId="77777777" w:rsidR="00AB1126" w:rsidRPr="00447615" w:rsidRDefault="00AB1126" w:rsidP="00AB1126">
      <w:pPr>
        <w:numPr>
          <w:ilvl w:val="1"/>
          <w:numId w:val="37"/>
        </w:numPr>
        <w:spacing w:after="120" w:line="240" w:lineRule="auto"/>
        <w:jc w:val="left"/>
        <w:rPr>
          <w:lang w:val="en-US"/>
        </w:rPr>
      </w:pPr>
      <w:r w:rsidRPr="00447615">
        <w:rPr>
          <w:lang w:val="en-US"/>
        </w:rPr>
        <w:t>Governance and review processes.</w:t>
      </w:r>
    </w:p>
    <w:p w14:paraId="09DCDAE9" w14:textId="77777777" w:rsidR="00AB1126" w:rsidRPr="00447615" w:rsidRDefault="00AB1126" w:rsidP="00AB1126">
      <w:pPr>
        <w:numPr>
          <w:ilvl w:val="0"/>
          <w:numId w:val="37"/>
        </w:numPr>
        <w:spacing w:after="120" w:line="240" w:lineRule="auto"/>
        <w:jc w:val="left"/>
        <w:rPr>
          <w:lang w:val="en-US"/>
        </w:rPr>
      </w:pPr>
      <w:r w:rsidRPr="00447615">
        <w:rPr>
          <w:lang w:val="en-US"/>
        </w:rPr>
        <w:t>User-Targeted Versions:</w:t>
      </w:r>
      <w:r w:rsidRPr="00447615">
        <w:rPr>
          <w:lang w:val="en-US"/>
        </w:rPr>
        <w:br/>
        <w:t>In addition to full technical documentation, a tiered documentation approach should be adopted:</w:t>
      </w:r>
    </w:p>
    <w:p w14:paraId="78C6E34C" w14:textId="77777777" w:rsidR="00AB1126" w:rsidRPr="00447615" w:rsidRDefault="00AB1126" w:rsidP="00AB1126">
      <w:pPr>
        <w:numPr>
          <w:ilvl w:val="1"/>
          <w:numId w:val="37"/>
        </w:numPr>
        <w:spacing w:after="120" w:line="240" w:lineRule="auto"/>
        <w:jc w:val="left"/>
        <w:rPr>
          <w:lang w:val="en-US"/>
        </w:rPr>
      </w:pPr>
      <w:r w:rsidRPr="00447615">
        <w:rPr>
          <w:lang w:val="en-US"/>
        </w:rPr>
        <w:t>Technical annexes for quantitative users and model developers,</w:t>
      </w:r>
    </w:p>
    <w:p w14:paraId="010AE5D5" w14:textId="77777777" w:rsidR="00AB1126" w:rsidRPr="00447615" w:rsidRDefault="00AB1126" w:rsidP="00AB1126">
      <w:pPr>
        <w:numPr>
          <w:ilvl w:val="1"/>
          <w:numId w:val="37"/>
        </w:numPr>
        <w:spacing w:after="120" w:line="240" w:lineRule="auto"/>
        <w:jc w:val="left"/>
        <w:rPr>
          <w:lang w:val="en-US"/>
        </w:rPr>
      </w:pPr>
      <w:r w:rsidRPr="00447615">
        <w:rPr>
          <w:lang w:val="en-US"/>
        </w:rPr>
        <w:lastRenderedPageBreak/>
        <w:t>Executive summaries for non-quantitative professionals (e.g. treasury or legal departments),</w:t>
      </w:r>
    </w:p>
    <w:p w14:paraId="1A1FBC60" w14:textId="77777777" w:rsidR="00AB1126" w:rsidRPr="00447615" w:rsidRDefault="00AB1126" w:rsidP="00AB1126">
      <w:pPr>
        <w:numPr>
          <w:ilvl w:val="1"/>
          <w:numId w:val="37"/>
        </w:numPr>
        <w:spacing w:after="120" w:line="240" w:lineRule="auto"/>
        <w:jc w:val="left"/>
        <w:rPr>
          <w:lang w:val="en-US"/>
        </w:rPr>
      </w:pPr>
      <w:r w:rsidRPr="00447615">
        <w:rPr>
          <w:lang w:val="en-US"/>
        </w:rPr>
        <w:t>FAQ-style explanations for operational staff.</w:t>
      </w:r>
    </w:p>
    <w:p w14:paraId="4E8A77DB" w14:textId="77777777" w:rsidR="00AB1126" w:rsidRPr="00447615" w:rsidRDefault="00AB1126" w:rsidP="00AB1126">
      <w:pPr>
        <w:numPr>
          <w:ilvl w:val="0"/>
          <w:numId w:val="37"/>
        </w:numPr>
        <w:spacing w:after="120" w:line="240" w:lineRule="auto"/>
        <w:jc w:val="left"/>
        <w:rPr>
          <w:lang w:val="en-US"/>
        </w:rPr>
      </w:pPr>
      <w:proofErr w:type="spellStart"/>
      <w:r w:rsidRPr="00447615">
        <w:rPr>
          <w:lang w:val="en-US"/>
        </w:rPr>
        <w:t>Standardisation</w:t>
      </w:r>
      <w:proofErr w:type="spellEnd"/>
      <w:r w:rsidRPr="00447615">
        <w:rPr>
          <w:lang w:val="en-US"/>
        </w:rPr>
        <w:t xml:space="preserve"> &amp; Comparability:</w:t>
      </w:r>
      <w:r w:rsidRPr="00447615">
        <w:rPr>
          <w:lang w:val="en-US"/>
        </w:rPr>
        <w:br/>
        <w:t xml:space="preserve">We strongly advocate for </w:t>
      </w:r>
      <w:proofErr w:type="spellStart"/>
      <w:r w:rsidRPr="00447615">
        <w:rPr>
          <w:lang w:val="en-US"/>
        </w:rPr>
        <w:t>harmonised</w:t>
      </w:r>
      <w:proofErr w:type="spellEnd"/>
      <w:r w:rsidRPr="00447615">
        <w:rPr>
          <w:lang w:val="en-US"/>
        </w:rPr>
        <w:t xml:space="preserve"> templates or minimum documentation standards across CCPs in the EU. This would allow clearing members to compare models more easily and understand divergences in margin practices.</w:t>
      </w:r>
    </w:p>
    <w:p w14:paraId="3124EEC1" w14:textId="77777777" w:rsidR="00AB1126" w:rsidRPr="00447615" w:rsidRDefault="00AB1126" w:rsidP="00AB1126">
      <w:pPr>
        <w:numPr>
          <w:ilvl w:val="0"/>
          <w:numId w:val="37"/>
        </w:numPr>
        <w:spacing w:after="120" w:line="240" w:lineRule="auto"/>
        <w:jc w:val="left"/>
        <w:rPr>
          <w:lang w:val="en-US"/>
        </w:rPr>
      </w:pPr>
      <w:r w:rsidRPr="00447615">
        <w:rPr>
          <w:lang w:val="en-US"/>
        </w:rPr>
        <w:t>Digital Access and Version Control:</w:t>
      </w:r>
      <w:r w:rsidRPr="00447615">
        <w:rPr>
          <w:lang w:val="en-US"/>
        </w:rPr>
        <w:br/>
        <w:t>Documentation should be made accessible via secure digital platforms with clear versioning, change logs, and notification mechanisms to alert users when model changes or parameter updates occur.</w:t>
      </w:r>
    </w:p>
    <w:p w14:paraId="70E82A57" w14:textId="77777777" w:rsidR="00AB1126" w:rsidRPr="0073574E" w:rsidRDefault="00AB1126" w:rsidP="00AB1126">
      <w:pPr>
        <w:spacing w:line="240" w:lineRule="auto"/>
        <w:rPr>
          <w:lang w:val="en-US"/>
        </w:rPr>
      </w:pPr>
      <w:r w:rsidRPr="0073574E">
        <w:rPr>
          <w:lang w:val="en-US"/>
        </w:rPr>
        <w:t xml:space="preserve">However, it is also important to improve clients’ understanding. Most market participants, represented by BDEW, are not acting as CMs themselves but are primarily clients of clearing members. A greater transparency at client-level is essential for enabling clients to manage risk effectively, plan liquidity, and anticipate and respond to changes in margin requirements in a timely and informed manner. </w:t>
      </w:r>
    </w:p>
    <w:p w14:paraId="15AD4FB5" w14:textId="77777777" w:rsidR="00AB1126" w:rsidRPr="0073574E" w:rsidRDefault="00AB1126" w:rsidP="00AB1126">
      <w:pPr>
        <w:spacing w:line="240" w:lineRule="auto"/>
        <w:rPr>
          <w:lang w:val="en-US"/>
        </w:rPr>
      </w:pPr>
      <w:r w:rsidRPr="0073574E">
        <w:rPr>
          <w:lang w:val="en-US"/>
        </w:rPr>
        <w:t>We therefore welcome the proposal in ESMAs RTS draft Article 7 that clearing members and CSPs should provide the margin model documentation to their clients, ensuring a consistent baseline of transparency and equal access across the market.</w:t>
      </w:r>
    </w:p>
    <w:p w14:paraId="7EF07F00" w14:textId="7A480662"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 xml:space="preserve">you agree with the proposed requirements and the type of output for the simulation tool to be provided by CCPs? Are there any other requirements for the CCP margin simulation tool which should be </w:t>
      </w:r>
      <w:proofErr w:type="gramStart"/>
      <w:r w:rsidR="005D6222" w:rsidRPr="005D6222">
        <w:t>taken into account</w:t>
      </w:r>
      <w:proofErr w:type="gramEnd"/>
      <w:r w:rsidR="005D6222" w:rsidRPr="005D6222">
        <w: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2B0F142F" w14:textId="77777777" w:rsidR="00AB1126" w:rsidRPr="00447615" w:rsidRDefault="00AB1126" w:rsidP="00AB1126">
      <w:pPr>
        <w:spacing w:line="240" w:lineRule="auto"/>
        <w:rPr>
          <w:lang w:val="en-US"/>
        </w:rPr>
      </w:pPr>
      <w:r w:rsidRPr="00447615">
        <w:rPr>
          <w:lang w:val="en-US"/>
        </w:rPr>
        <w:t>BDEW welcomes the introduction of a margin simulation tool as a valuable instrument to enhance transparency and improve liquidity planning for clearing members. We generally support the objectives and the proposed structure of the tool.</w:t>
      </w:r>
    </w:p>
    <w:p w14:paraId="7C8628E9" w14:textId="77777777" w:rsidR="00AB1126" w:rsidRPr="00447615" w:rsidRDefault="00AB1126" w:rsidP="00AB1126">
      <w:pPr>
        <w:spacing w:line="240" w:lineRule="auto"/>
        <w:rPr>
          <w:lang w:val="en-US"/>
        </w:rPr>
      </w:pPr>
      <w:r w:rsidRPr="00447615">
        <w:rPr>
          <w:lang w:val="en-US"/>
        </w:rPr>
        <w:t xml:space="preserve">We propose the following </w:t>
      </w:r>
      <w:r>
        <w:rPr>
          <w:lang w:val="en-US"/>
        </w:rPr>
        <w:t>additions</w:t>
      </w:r>
      <w:r w:rsidRPr="00447615">
        <w:rPr>
          <w:lang w:val="en-US"/>
        </w:rPr>
        <w:t>:</w:t>
      </w:r>
    </w:p>
    <w:p w14:paraId="41DC6AAE" w14:textId="77777777" w:rsidR="00AB1126" w:rsidRPr="00447615" w:rsidRDefault="00AB1126" w:rsidP="00AB1126">
      <w:pPr>
        <w:numPr>
          <w:ilvl w:val="0"/>
          <w:numId w:val="38"/>
        </w:numPr>
        <w:spacing w:after="120" w:line="240" w:lineRule="auto"/>
        <w:jc w:val="left"/>
        <w:rPr>
          <w:lang w:val="en-US"/>
        </w:rPr>
      </w:pPr>
      <w:r w:rsidRPr="00447615">
        <w:rPr>
          <w:lang w:val="en-US"/>
        </w:rPr>
        <w:t>Re-use of Existing Infrastructure:</w:t>
      </w:r>
      <w:r w:rsidRPr="00447615">
        <w:rPr>
          <w:lang w:val="en-US"/>
        </w:rPr>
        <w:br/>
        <w:t>CCPs should be encouraged (but not required) to leverage existing margin calculation engines and stress-testing frameworks to power the simulation tool. This would avoid duplication of effort and reduce implementation costs.</w:t>
      </w:r>
    </w:p>
    <w:p w14:paraId="3FF56EC0" w14:textId="77777777" w:rsidR="00AB1126" w:rsidRPr="002C6F90" w:rsidRDefault="00AB1126" w:rsidP="00AB1126">
      <w:pPr>
        <w:numPr>
          <w:ilvl w:val="0"/>
          <w:numId w:val="38"/>
        </w:numPr>
        <w:spacing w:after="120" w:line="240" w:lineRule="auto"/>
        <w:jc w:val="left"/>
        <w:rPr>
          <w:lang w:val="en-US"/>
        </w:rPr>
      </w:pPr>
      <w:r w:rsidRPr="00447615">
        <w:rPr>
          <w:lang w:val="en-US"/>
        </w:rPr>
        <w:t>Scenario Design Scope:</w:t>
      </w:r>
      <w:r w:rsidRPr="00447615">
        <w:rPr>
          <w:lang w:val="en-US"/>
        </w:rPr>
        <w:br/>
      </w:r>
      <w:r w:rsidRPr="002C6F90">
        <w:rPr>
          <w:lang w:val="en-US"/>
        </w:rPr>
        <w:t>ESMA should:</w:t>
      </w:r>
    </w:p>
    <w:p w14:paraId="45A697E9" w14:textId="77777777" w:rsidR="00AB1126" w:rsidRPr="00447615" w:rsidRDefault="00AB1126" w:rsidP="00AB1126">
      <w:pPr>
        <w:numPr>
          <w:ilvl w:val="1"/>
          <w:numId w:val="38"/>
        </w:numPr>
        <w:spacing w:after="120" w:line="240" w:lineRule="auto"/>
        <w:jc w:val="left"/>
        <w:rPr>
          <w:lang w:val="en-US"/>
        </w:rPr>
      </w:pPr>
      <w:r w:rsidRPr="00447615">
        <w:rPr>
          <w:lang w:val="en-US"/>
        </w:rPr>
        <w:t>avoid overly prescriptive scenario calibration rules, and</w:t>
      </w:r>
    </w:p>
    <w:p w14:paraId="231EAF85" w14:textId="77777777" w:rsidR="00AB1126" w:rsidRDefault="00AB1126" w:rsidP="00AB1126">
      <w:pPr>
        <w:numPr>
          <w:ilvl w:val="1"/>
          <w:numId w:val="38"/>
        </w:numPr>
        <w:spacing w:after="120" w:line="240" w:lineRule="auto"/>
        <w:jc w:val="left"/>
        <w:rPr>
          <w:lang w:val="en-US"/>
        </w:rPr>
      </w:pPr>
      <w:r w:rsidRPr="00447615">
        <w:rPr>
          <w:lang w:val="en-US"/>
        </w:rPr>
        <w:lastRenderedPageBreak/>
        <w:t>allow CCPs to use existing stress-testing scenarios (e.g. for default fund calibration) where applicable.</w:t>
      </w:r>
    </w:p>
    <w:p w14:paraId="6B404E0A" w14:textId="77777777" w:rsidR="00AB1126" w:rsidRPr="00467C2E" w:rsidRDefault="00AB1126" w:rsidP="00AB1126">
      <w:pPr>
        <w:numPr>
          <w:ilvl w:val="1"/>
          <w:numId w:val="38"/>
        </w:numPr>
        <w:spacing w:after="120" w:line="240" w:lineRule="auto"/>
        <w:jc w:val="left"/>
        <w:rPr>
          <w:lang w:val="en-US"/>
        </w:rPr>
      </w:pPr>
      <w:r>
        <w:rPr>
          <w:lang w:val="en-US"/>
        </w:rPr>
        <w:t>Include a</w:t>
      </w:r>
      <w:r w:rsidRPr="00467C2E">
        <w:rPr>
          <w:lang w:val="en-US"/>
        </w:rPr>
        <w:t xml:space="preserve">bsolute </w:t>
      </w:r>
      <w:r>
        <w:rPr>
          <w:lang w:val="en-US"/>
        </w:rPr>
        <w:t>p</w:t>
      </w:r>
      <w:r w:rsidRPr="00467C2E">
        <w:rPr>
          <w:lang w:val="en-US"/>
        </w:rPr>
        <w:t xml:space="preserve">rice </w:t>
      </w:r>
      <w:r>
        <w:rPr>
          <w:lang w:val="en-US"/>
        </w:rPr>
        <w:t>s</w:t>
      </w:r>
      <w:r w:rsidRPr="00467C2E">
        <w:rPr>
          <w:lang w:val="en-US"/>
        </w:rPr>
        <w:t xml:space="preserve">hocks: In addition to relative price movements, scenarios should include absolute price shocks, particularly those based on historical stress periods. These allow for more intuitive risk assessments and should be explicitly available as a subset of the scenarios provided. </w:t>
      </w:r>
    </w:p>
    <w:p w14:paraId="1CFED5D6" w14:textId="77777777" w:rsidR="00AB1126" w:rsidRDefault="00AB1126" w:rsidP="00AB1126">
      <w:pPr>
        <w:numPr>
          <w:ilvl w:val="1"/>
          <w:numId w:val="38"/>
        </w:numPr>
        <w:spacing w:after="120" w:line="240" w:lineRule="auto"/>
        <w:jc w:val="left"/>
        <w:rPr>
          <w:lang w:val="en-US"/>
        </w:rPr>
      </w:pPr>
      <w:r>
        <w:rPr>
          <w:lang w:val="en-US"/>
        </w:rPr>
        <w:t>Include f</w:t>
      </w:r>
      <w:r w:rsidRPr="00467C2E">
        <w:rPr>
          <w:lang w:val="en-US"/>
        </w:rPr>
        <w:t xml:space="preserve">orward </w:t>
      </w:r>
      <w:r>
        <w:rPr>
          <w:lang w:val="en-US"/>
        </w:rPr>
        <w:t>s</w:t>
      </w:r>
      <w:r w:rsidRPr="00467C2E">
        <w:rPr>
          <w:lang w:val="en-US"/>
        </w:rPr>
        <w:t xml:space="preserve">imulation: </w:t>
      </w:r>
      <w:r w:rsidRPr="007D7884">
        <w:rPr>
          <w:lang w:val="en-US"/>
        </w:rPr>
        <w:t>As an additional requirement/feature it should be possible to calculate the margin requirements not only at the current date but also at future scenario dates, which would allow the analysis of time to maturity and seasonality effects</w:t>
      </w:r>
      <w:r>
        <w:rPr>
          <w:lang w:val="en-US"/>
        </w:rPr>
        <w:t xml:space="preserve"> </w:t>
      </w:r>
      <w:r w:rsidRPr="00467C2E">
        <w:rPr>
          <w:lang w:val="en-US"/>
        </w:rPr>
        <w:t xml:space="preserve">critical for funding and collateral planning. </w:t>
      </w:r>
    </w:p>
    <w:p w14:paraId="775E447C" w14:textId="77777777" w:rsidR="00AB1126" w:rsidRPr="00AD43C6" w:rsidRDefault="00AB1126" w:rsidP="00AB1126">
      <w:pPr>
        <w:numPr>
          <w:ilvl w:val="1"/>
          <w:numId w:val="38"/>
        </w:numPr>
        <w:spacing w:after="120" w:line="240" w:lineRule="auto"/>
        <w:jc w:val="left"/>
        <w:rPr>
          <w:lang w:val="en-US"/>
        </w:rPr>
      </w:pPr>
      <w:r w:rsidRPr="005A1535">
        <w:rPr>
          <w:lang w:val="en-US"/>
        </w:rPr>
        <w:t xml:space="preserve">Paragraph 20 of the consultation states: “Article 38(6) of EMIR requires a CCP to provide a simulation tool to its clearing members. This tool shall allow the clearing members to determine the amount of additional initial margin at portfolio level that the CCP might require upon the clearing of a new transaction, including a simulation of the margin requirements that they might be subject to under different scenarios. That tool shall only be accessible on a secured access basis,” While we acknowledge that this requirement comes from EMIR 3.0 level 1 text, we wonder if such a simulation is </w:t>
      </w:r>
      <w:proofErr w:type="gramStart"/>
      <w:r w:rsidRPr="005A1535">
        <w:rPr>
          <w:lang w:val="en-US"/>
        </w:rPr>
        <w:t>really meaningful</w:t>
      </w:r>
      <w:proofErr w:type="gramEnd"/>
      <w:r w:rsidRPr="005A1535">
        <w:rPr>
          <w:lang w:val="en-US"/>
        </w:rPr>
        <w:t xml:space="preserve">, especially if it covers only one new trade and not a portfolio of new trades. Simulating only one new trade would only have a use case for </w:t>
      </w:r>
      <w:proofErr w:type="gramStart"/>
      <w:r w:rsidRPr="005A1535">
        <w:rPr>
          <w:lang w:val="en-US"/>
        </w:rPr>
        <w:t>particular large</w:t>
      </w:r>
      <w:proofErr w:type="gramEnd"/>
      <w:r w:rsidRPr="005A1535">
        <w:rPr>
          <w:lang w:val="en-US"/>
        </w:rPr>
        <w:t xml:space="preserve"> OTC transactions. For futures, such a simulator would likely not be used much.</w:t>
      </w:r>
      <w:r>
        <w:rPr>
          <w:lang w:val="en-US"/>
        </w:rPr>
        <w:t xml:space="preserve"> </w:t>
      </w:r>
      <w:r w:rsidRPr="005A1535">
        <w:rPr>
          <w:lang w:val="en-US"/>
        </w:rPr>
        <w:t xml:space="preserve">Given that CCP margin is the key component of margin calls to clients, and that many or even </w:t>
      </w:r>
      <w:proofErr w:type="gramStart"/>
      <w:r w:rsidRPr="005A1535">
        <w:rPr>
          <w:lang w:val="en-US"/>
        </w:rPr>
        <w:t>the majority of</w:t>
      </w:r>
      <w:proofErr w:type="gramEnd"/>
      <w:r w:rsidRPr="005A1535">
        <w:rPr>
          <w:lang w:val="en-US"/>
        </w:rPr>
        <w:t xml:space="preserve"> clients do not pay additional margin above the CCP margin, the CCP simulator will cover the majority of margin simulation, both for clearing members and also for many or the majority of clients. To make the overall system more efficient, we therefore would have hoped for a requirement for CCPs to provide their simulation tool also to clients.</w:t>
      </w:r>
    </w:p>
    <w:p w14:paraId="76764FC4" w14:textId="77777777" w:rsidR="00AB1126" w:rsidRPr="00447615" w:rsidRDefault="00AB1126" w:rsidP="00AB1126">
      <w:pPr>
        <w:numPr>
          <w:ilvl w:val="0"/>
          <w:numId w:val="38"/>
        </w:numPr>
        <w:spacing w:after="120" w:line="240" w:lineRule="auto"/>
        <w:jc w:val="left"/>
        <w:rPr>
          <w:lang w:val="en-US"/>
        </w:rPr>
      </w:pPr>
      <w:r w:rsidRPr="00447615">
        <w:rPr>
          <w:lang w:val="en-US"/>
        </w:rPr>
        <w:t>Avoiding Legal Ambiguity and Liability Risk:</w:t>
      </w:r>
      <w:r w:rsidRPr="00447615">
        <w:rPr>
          <w:lang w:val="en-US"/>
        </w:rPr>
        <w:br/>
        <w:t xml:space="preserve">BDEW supports the principle that simulation results are non-binding. However, we recommend that ESMA explicitly clarifies the legal status of simulation outputs in the RTS and provides a liability-safe </w:t>
      </w:r>
      <w:proofErr w:type="spellStart"/>
      <w:r w:rsidRPr="00447615">
        <w:rPr>
          <w:lang w:val="en-US"/>
        </w:rPr>
        <w:t>harbour</w:t>
      </w:r>
      <w:proofErr w:type="spellEnd"/>
      <w:r w:rsidRPr="00447615">
        <w:rPr>
          <w:lang w:val="en-US"/>
        </w:rPr>
        <w:t xml:space="preserve"> for CCPs offering such tools in good faith.</w:t>
      </w:r>
    </w:p>
    <w:p w14:paraId="33DF02D2" w14:textId="77777777" w:rsidR="00AB1126" w:rsidRDefault="00AB1126" w:rsidP="00AB1126">
      <w:pPr>
        <w:numPr>
          <w:ilvl w:val="0"/>
          <w:numId w:val="38"/>
        </w:numPr>
        <w:spacing w:after="120" w:line="240" w:lineRule="auto"/>
        <w:jc w:val="left"/>
        <w:rPr>
          <w:lang w:val="en-US"/>
        </w:rPr>
      </w:pPr>
      <w:r w:rsidRPr="00447615">
        <w:rPr>
          <w:lang w:val="en-US"/>
        </w:rPr>
        <w:t>Interface and Confidentiality:</w:t>
      </w:r>
      <w:r w:rsidRPr="00447615">
        <w:rPr>
          <w:lang w:val="en-US"/>
        </w:rPr>
        <w:br/>
        <w:t>The simulation tool should be accessible via a secured web interface or API, allowing integration into members’ risk systems while maintaining robust confidentiality and access control. However, the requirement for detailed model decomposition (e.g. per risk type) should be limited to what is technically feasible within the existing margining framework.</w:t>
      </w:r>
    </w:p>
    <w:p w14:paraId="07D602BB" w14:textId="77777777" w:rsidR="00AB1126" w:rsidRPr="00447615" w:rsidRDefault="00AB1126" w:rsidP="00AB1126">
      <w:pPr>
        <w:numPr>
          <w:ilvl w:val="0"/>
          <w:numId w:val="38"/>
        </w:numPr>
        <w:spacing w:after="120" w:line="240" w:lineRule="auto"/>
        <w:jc w:val="left"/>
        <w:rPr>
          <w:lang w:val="en-US"/>
        </w:rPr>
      </w:pPr>
    </w:p>
    <w:p w14:paraId="0AB70AFF" w14:textId="562F0221"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 xml:space="preserve">you agree with the proposed information to be shared by CSPs on their margin models? Should any other element be </w:t>
      </w:r>
      <w:proofErr w:type="gramStart"/>
      <w:r w:rsidR="007A0CCF" w:rsidRPr="007A0CCF">
        <w:t>taken into account</w:t>
      </w:r>
      <w:proofErr w:type="gramEnd"/>
      <w:r w:rsidRPr="007966CD">
        <w:t xml:space="preserve">?    </w:t>
      </w:r>
    </w:p>
    <w:p w14:paraId="01C9FE80" w14:textId="1BE2C2C3" w:rsidR="00693907" w:rsidRDefault="00693907" w:rsidP="00693907">
      <w:r>
        <w:t>&lt;ESMA_QUESTION_</w:t>
      </w:r>
      <w:r w:rsidR="005B277C">
        <w:t>MARG</w:t>
      </w:r>
      <w:r>
        <w:t>_5&gt;</w:t>
      </w:r>
    </w:p>
    <w:p w14:paraId="138A2369" w14:textId="77777777" w:rsidR="00AB1126" w:rsidRPr="00447615" w:rsidRDefault="00AB1126" w:rsidP="00AB1126">
      <w:pPr>
        <w:rPr>
          <w:lang w:val="en-US"/>
        </w:rPr>
      </w:pPr>
      <w:r w:rsidRPr="00447615">
        <w:rPr>
          <w:lang w:val="en-US"/>
        </w:rPr>
        <w:lastRenderedPageBreak/>
        <w:t xml:space="preserve">BDEW welcomes the requirement for CSPs to provide the same level of transparency to their clients as CCPs provide to clearing members. </w:t>
      </w:r>
      <w:r w:rsidRPr="00AD43C6">
        <w:rPr>
          <w:lang w:val="en-US"/>
        </w:rPr>
        <w:t xml:space="preserve">Hence, CSPs should make available to their clients all relevant information received from the CCP, particularly where it relates to margin requirements and margin add-ons that directly affect the client's exposure. In addition to relaying CCP data, CSPs should fully disclose any additional margin requirements they impose.  </w:t>
      </w:r>
      <w:r w:rsidRPr="00447615">
        <w:rPr>
          <w:lang w:val="en-US"/>
        </w:rPr>
        <w:t>This is particularly important as some CSPs apply additional margin multipliers or internal models, which can significantly affect end-clients' liquidity positions.</w:t>
      </w:r>
    </w:p>
    <w:p w14:paraId="357D2439" w14:textId="77777777" w:rsidR="00AB1126" w:rsidRPr="00447615" w:rsidRDefault="00AB1126" w:rsidP="00AB1126">
      <w:pPr>
        <w:rPr>
          <w:lang w:val="en-US"/>
        </w:rPr>
      </w:pPr>
      <w:r w:rsidRPr="00447615">
        <w:rPr>
          <w:lang w:val="en-US"/>
        </w:rPr>
        <w:t xml:space="preserve">We </w:t>
      </w:r>
      <w:r>
        <w:rPr>
          <w:lang w:val="en-US"/>
        </w:rPr>
        <w:t xml:space="preserve">therefore </w:t>
      </w:r>
      <w:r w:rsidRPr="00447615">
        <w:rPr>
          <w:lang w:val="en-US"/>
        </w:rPr>
        <w:t>recommend the mandatory disclosure of:</w:t>
      </w:r>
    </w:p>
    <w:p w14:paraId="1CE37793" w14:textId="77777777" w:rsidR="00AB1126" w:rsidRPr="00447615" w:rsidRDefault="00AB1126" w:rsidP="00AB1126">
      <w:pPr>
        <w:numPr>
          <w:ilvl w:val="0"/>
          <w:numId w:val="39"/>
        </w:numPr>
        <w:spacing w:after="120" w:line="320" w:lineRule="atLeast"/>
        <w:jc w:val="left"/>
        <w:rPr>
          <w:lang w:val="en-US"/>
        </w:rPr>
      </w:pPr>
      <w:r w:rsidRPr="00447615">
        <w:rPr>
          <w:lang w:val="en-US"/>
        </w:rPr>
        <w:t>Margin add-ons or multipliers applied by CSPs.</w:t>
      </w:r>
    </w:p>
    <w:p w14:paraId="5D6F0636" w14:textId="77777777" w:rsidR="00AB1126" w:rsidRPr="00447615" w:rsidRDefault="00AB1126" w:rsidP="00AB1126">
      <w:pPr>
        <w:numPr>
          <w:ilvl w:val="0"/>
          <w:numId w:val="39"/>
        </w:numPr>
        <w:spacing w:after="120" w:line="320" w:lineRule="atLeast"/>
        <w:jc w:val="left"/>
        <w:rPr>
          <w:lang w:val="en-US"/>
        </w:rPr>
      </w:pPr>
      <w:r w:rsidRPr="00447615">
        <w:rPr>
          <w:lang w:val="en-US"/>
        </w:rPr>
        <w:t>Justifications for deviations from CCP models.</w:t>
      </w:r>
    </w:p>
    <w:p w14:paraId="074E2E39" w14:textId="77777777" w:rsidR="00AB1126" w:rsidRPr="00447615" w:rsidRDefault="00AB1126" w:rsidP="00AB1126">
      <w:pPr>
        <w:numPr>
          <w:ilvl w:val="0"/>
          <w:numId w:val="39"/>
        </w:numPr>
        <w:spacing w:after="120" w:line="320" w:lineRule="atLeast"/>
        <w:jc w:val="left"/>
        <w:rPr>
          <w:lang w:val="en-US"/>
        </w:rPr>
      </w:pPr>
      <w:r w:rsidRPr="00447615">
        <w:rPr>
          <w:lang w:val="en-US"/>
        </w:rPr>
        <w:t>Information on the timing and triggers for margin recalibration.</w:t>
      </w:r>
    </w:p>
    <w:p w14:paraId="5D4FE3B2" w14:textId="77777777" w:rsidR="00AB1126" w:rsidRDefault="00AB1126" w:rsidP="00AB1126">
      <w:pPr>
        <w:rPr>
          <w:lang w:val="en-US"/>
        </w:rPr>
      </w:pPr>
      <w:r w:rsidRPr="00447615">
        <w:rPr>
          <w:lang w:val="en-US"/>
        </w:rPr>
        <w:t>Such transparency is essential to avoid unexpected collateral demands and to ensure fair treatment across the clearing chain.</w:t>
      </w:r>
    </w:p>
    <w:p w14:paraId="7E43F2D3" w14:textId="77777777" w:rsidR="00AB1126" w:rsidRDefault="00AB1126" w:rsidP="00AB1126">
      <w:pPr>
        <w:rPr>
          <w:lang w:val="en-US"/>
        </w:rPr>
      </w:pPr>
      <w:r w:rsidRPr="00FC4C12">
        <w:rPr>
          <w:lang w:val="en-US"/>
        </w:rPr>
        <w:t>The effort for CSP</w:t>
      </w:r>
      <w:r>
        <w:rPr>
          <w:lang w:val="en-US"/>
        </w:rPr>
        <w:t>s</w:t>
      </w:r>
      <w:r w:rsidRPr="00FC4C12">
        <w:rPr>
          <w:lang w:val="en-US"/>
        </w:rPr>
        <w:t xml:space="preserve"> is partially limited because most of CCP</w:t>
      </w:r>
      <w:r>
        <w:rPr>
          <w:lang w:val="en-US"/>
        </w:rPr>
        <w:t xml:space="preserve">s already </w:t>
      </w:r>
      <w:r w:rsidRPr="00FC4C12">
        <w:rPr>
          <w:lang w:val="en-US"/>
        </w:rPr>
        <w:t>make their margin documentation and calculation tools available to all market participants</w:t>
      </w:r>
      <w:r>
        <w:rPr>
          <w:lang w:val="en-US"/>
        </w:rPr>
        <w:t>. Where clients are not granted access to this information</w:t>
      </w:r>
      <w:r w:rsidRPr="00FC4C12">
        <w:rPr>
          <w:lang w:val="en-US"/>
        </w:rPr>
        <w:t xml:space="preserve"> </w:t>
      </w:r>
      <w:r>
        <w:rPr>
          <w:lang w:val="en-US"/>
        </w:rPr>
        <w:t xml:space="preserve">directly, CSPs </w:t>
      </w:r>
      <w:r w:rsidRPr="00FC4C12">
        <w:rPr>
          <w:lang w:val="en-US"/>
        </w:rPr>
        <w:t xml:space="preserve">should </w:t>
      </w:r>
      <w:r w:rsidRPr="00494AE4">
        <w:rPr>
          <w:lang w:val="en-US"/>
        </w:rPr>
        <w:t>pass through the information, which is made available to them, to preserve comparability and ensure a level playing field across the market.</w:t>
      </w:r>
    </w:p>
    <w:p w14:paraId="3CE960DF" w14:textId="0FC78616" w:rsidR="00693907" w:rsidRDefault="00693907" w:rsidP="00AB1126">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29D758EF" w14:textId="77777777" w:rsidR="00AB1126" w:rsidRPr="00447615" w:rsidRDefault="00AB1126" w:rsidP="00AB1126">
      <w:pPr>
        <w:rPr>
          <w:lang w:val="en-US"/>
        </w:rPr>
      </w:pPr>
      <w:r w:rsidRPr="00447615">
        <w:rPr>
          <w:lang w:val="en-US"/>
        </w:rPr>
        <w:t xml:space="preserve">BDEW agrees with the proposal that CSPs should provide margin simulations to their clients, including a clear breakdown of CCP and </w:t>
      </w:r>
      <w:r>
        <w:rPr>
          <w:lang w:val="en-US"/>
        </w:rPr>
        <w:t xml:space="preserve">any additional </w:t>
      </w:r>
      <w:r w:rsidRPr="00447615">
        <w:rPr>
          <w:lang w:val="en-US"/>
        </w:rPr>
        <w:t>CSP margin components. This requirement will significantly improve transparency and preparedness for collateral management.</w:t>
      </w:r>
    </w:p>
    <w:p w14:paraId="457B88D0" w14:textId="77777777" w:rsidR="00AB1126" w:rsidRPr="00447615" w:rsidRDefault="00AB1126" w:rsidP="00AB1126">
      <w:pPr>
        <w:rPr>
          <w:lang w:val="en-US"/>
        </w:rPr>
      </w:pPr>
      <w:r w:rsidRPr="00447615">
        <w:rPr>
          <w:lang w:val="en-US"/>
        </w:rPr>
        <w:t>We suggest that the simulation tools:</w:t>
      </w:r>
    </w:p>
    <w:p w14:paraId="2F3C720C" w14:textId="77777777" w:rsidR="00AB1126" w:rsidRPr="00447615" w:rsidRDefault="00AB1126" w:rsidP="00AB1126">
      <w:pPr>
        <w:numPr>
          <w:ilvl w:val="0"/>
          <w:numId w:val="40"/>
        </w:numPr>
        <w:spacing w:after="120" w:line="320" w:lineRule="atLeast"/>
        <w:jc w:val="left"/>
        <w:rPr>
          <w:lang w:val="en-US"/>
        </w:rPr>
      </w:pPr>
      <w:r w:rsidRPr="00447615">
        <w:rPr>
          <w:lang w:val="en-US"/>
        </w:rPr>
        <w:t>Allow clients to input hypothetical trades or portfolio changes.</w:t>
      </w:r>
    </w:p>
    <w:p w14:paraId="3CF01212" w14:textId="77777777" w:rsidR="00AB1126" w:rsidRPr="00447615" w:rsidRDefault="00AB1126" w:rsidP="00AB1126">
      <w:pPr>
        <w:numPr>
          <w:ilvl w:val="0"/>
          <w:numId w:val="40"/>
        </w:numPr>
        <w:spacing w:after="120" w:line="320" w:lineRule="atLeast"/>
        <w:jc w:val="left"/>
        <w:rPr>
          <w:lang w:val="en-US"/>
        </w:rPr>
      </w:pPr>
      <w:r w:rsidRPr="00447615">
        <w:rPr>
          <w:lang w:val="en-US"/>
        </w:rPr>
        <w:t>Reflect CCP model parameters accurately and in real-time where possible.</w:t>
      </w:r>
    </w:p>
    <w:p w14:paraId="60F222F7" w14:textId="77777777" w:rsidR="00AB1126" w:rsidRPr="00447615" w:rsidRDefault="00AB1126" w:rsidP="00AB1126">
      <w:pPr>
        <w:numPr>
          <w:ilvl w:val="0"/>
          <w:numId w:val="40"/>
        </w:numPr>
        <w:spacing w:after="120" w:line="320" w:lineRule="atLeast"/>
        <w:jc w:val="left"/>
        <w:rPr>
          <w:lang w:val="en-US"/>
        </w:rPr>
      </w:pPr>
      <w:r w:rsidRPr="00447615">
        <w:rPr>
          <w:lang w:val="en-US"/>
        </w:rPr>
        <w:t>Clearly document the margin methodologies used by CSPs, especially in cases of internal models.</w:t>
      </w:r>
    </w:p>
    <w:p w14:paraId="4434432F" w14:textId="77777777" w:rsidR="00AB1126" w:rsidRDefault="00AB1126" w:rsidP="00AB1126">
      <w:pPr>
        <w:numPr>
          <w:ilvl w:val="0"/>
          <w:numId w:val="40"/>
        </w:numPr>
        <w:spacing w:after="120" w:line="320" w:lineRule="atLeast"/>
        <w:jc w:val="left"/>
        <w:rPr>
          <w:lang w:val="en-US"/>
        </w:rPr>
      </w:pPr>
      <w:r w:rsidRPr="00447615">
        <w:rPr>
          <w:lang w:val="en-US"/>
        </w:rPr>
        <w:t>Be accessible in a user-friendly format and ideally via digital platforms.</w:t>
      </w:r>
    </w:p>
    <w:p w14:paraId="240239AB" w14:textId="77777777" w:rsidR="00AB1126" w:rsidRPr="00447615" w:rsidRDefault="00AB1126" w:rsidP="00AB1126">
      <w:pPr>
        <w:numPr>
          <w:ilvl w:val="0"/>
          <w:numId w:val="40"/>
        </w:numPr>
        <w:spacing w:after="120" w:line="320" w:lineRule="atLeast"/>
        <w:jc w:val="left"/>
        <w:rPr>
          <w:lang w:val="en-US"/>
        </w:rPr>
      </w:pPr>
      <w:r w:rsidRPr="003850FB">
        <w:rPr>
          <w:lang w:val="en-US"/>
        </w:rPr>
        <w:lastRenderedPageBreak/>
        <w:t>Include outcomes of CSPs own regular, systemic simulations of client portfolios</w:t>
      </w:r>
      <w:r>
        <w:rPr>
          <w:lang w:val="en-US"/>
        </w:rPr>
        <w:t xml:space="preserve"> to allow comparison against internal assessments, fostering greater alignment, resilience and sophistication in margin risk management across the clearing chain</w:t>
      </w:r>
      <w:r w:rsidRPr="003850FB">
        <w:rPr>
          <w:lang w:val="en-US"/>
        </w:rPr>
        <w:t>.</w:t>
      </w:r>
    </w:p>
    <w:p w14:paraId="046B1590" w14:textId="77777777" w:rsidR="00AB1126" w:rsidRPr="00447615" w:rsidRDefault="00AB1126" w:rsidP="00AB1126">
      <w:pPr>
        <w:rPr>
          <w:lang w:val="en-US"/>
        </w:rPr>
      </w:pPr>
      <w:r w:rsidRPr="00447615">
        <w:rPr>
          <w:lang w:val="en-US"/>
        </w:rPr>
        <w:t>This approach will enhance clients' ability to anticipate margin impacts and meet regulatory requirements effectively.</w:t>
      </w:r>
    </w:p>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B351" w14:textId="77777777" w:rsidR="00143839" w:rsidRDefault="00143839" w:rsidP="00F716D4">
      <w:r>
        <w:separator/>
      </w:r>
    </w:p>
    <w:p w14:paraId="523B132D" w14:textId="77777777" w:rsidR="00143839" w:rsidRDefault="00143839" w:rsidP="00F716D4"/>
  </w:endnote>
  <w:endnote w:type="continuationSeparator" w:id="0">
    <w:p w14:paraId="33C96A82" w14:textId="77777777" w:rsidR="00143839" w:rsidRDefault="00143839" w:rsidP="00F716D4">
      <w:r>
        <w:continuationSeparator/>
      </w:r>
    </w:p>
    <w:p w14:paraId="5107C947" w14:textId="77777777" w:rsidR="00143839" w:rsidRDefault="00143839" w:rsidP="00F716D4"/>
  </w:endnote>
  <w:endnote w:type="continuationNotice" w:id="1">
    <w:p w14:paraId="46D6DA57" w14:textId="77777777" w:rsidR="00143839" w:rsidRDefault="00143839"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Kopfzeile"/>
            <w:ind w:left="-115"/>
            <w:jc w:val="left"/>
          </w:pPr>
        </w:p>
      </w:tc>
      <w:tc>
        <w:tcPr>
          <w:tcW w:w="3020" w:type="dxa"/>
        </w:tcPr>
        <w:p w14:paraId="31DF827A" w14:textId="32EA9807" w:rsidR="296079D6" w:rsidRDefault="296079D6" w:rsidP="296079D6">
          <w:pPr>
            <w:pStyle w:val="Kopfzeile"/>
            <w:jc w:val="center"/>
          </w:pPr>
        </w:p>
      </w:tc>
      <w:tc>
        <w:tcPr>
          <w:tcW w:w="3020" w:type="dxa"/>
        </w:tcPr>
        <w:p w14:paraId="684BE38F" w14:textId="24CDFEA3" w:rsidR="296079D6" w:rsidRDefault="296079D6" w:rsidP="296079D6">
          <w:pPr>
            <w:pStyle w:val="Kopfzeile"/>
            <w:ind w:right="-115"/>
            <w:jc w:val="right"/>
          </w:pPr>
        </w:p>
      </w:tc>
    </w:tr>
  </w:tbl>
  <w:p w14:paraId="1EA6AD30" w14:textId="508E27C7" w:rsidR="296079D6" w:rsidRDefault="296079D6" w:rsidP="296079D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Kopfzeile"/>
            <w:ind w:left="-115"/>
            <w:jc w:val="left"/>
          </w:pPr>
        </w:p>
      </w:tc>
      <w:tc>
        <w:tcPr>
          <w:tcW w:w="3020" w:type="dxa"/>
        </w:tcPr>
        <w:p w14:paraId="60B14148" w14:textId="19E36BA0" w:rsidR="296079D6" w:rsidRDefault="296079D6" w:rsidP="296079D6">
          <w:pPr>
            <w:pStyle w:val="Kopfzeile"/>
            <w:jc w:val="center"/>
          </w:pPr>
        </w:p>
      </w:tc>
      <w:tc>
        <w:tcPr>
          <w:tcW w:w="3020" w:type="dxa"/>
        </w:tcPr>
        <w:p w14:paraId="767ABF03" w14:textId="0FB96330" w:rsidR="296079D6" w:rsidRDefault="296079D6" w:rsidP="296079D6">
          <w:pPr>
            <w:pStyle w:val="Kopfzeile"/>
            <w:ind w:right="-115"/>
            <w:jc w:val="right"/>
          </w:pPr>
        </w:p>
      </w:tc>
    </w:tr>
  </w:tbl>
  <w:p w14:paraId="31D907CC" w14:textId="0849D0C5" w:rsidR="296079D6" w:rsidRDefault="296079D6" w:rsidP="296079D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Kopfzeile"/>
            <w:ind w:left="-115"/>
            <w:jc w:val="left"/>
          </w:pPr>
        </w:p>
      </w:tc>
      <w:tc>
        <w:tcPr>
          <w:tcW w:w="3135" w:type="dxa"/>
        </w:tcPr>
        <w:p w14:paraId="31FEBFF4" w14:textId="743D0A84" w:rsidR="296079D6" w:rsidRDefault="296079D6" w:rsidP="296079D6">
          <w:pPr>
            <w:pStyle w:val="Kopfzeile"/>
            <w:jc w:val="center"/>
          </w:pPr>
        </w:p>
      </w:tc>
      <w:tc>
        <w:tcPr>
          <w:tcW w:w="3135" w:type="dxa"/>
        </w:tcPr>
        <w:p w14:paraId="66BF4A57" w14:textId="3665E6D3" w:rsidR="296079D6" w:rsidRDefault="296079D6" w:rsidP="296079D6">
          <w:pPr>
            <w:pStyle w:val="Kopfzeile"/>
            <w:ind w:right="-115"/>
            <w:jc w:val="right"/>
          </w:pPr>
        </w:p>
      </w:tc>
    </w:tr>
  </w:tbl>
  <w:p w14:paraId="157512C3" w14:textId="4E034532" w:rsidR="296079D6" w:rsidRDefault="296079D6" w:rsidP="296079D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Kopfzeile"/>
            <w:ind w:left="-115"/>
            <w:jc w:val="left"/>
          </w:pPr>
        </w:p>
      </w:tc>
      <w:tc>
        <w:tcPr>
          <w:tcW w:w="3135" w:type="dxa"/>
        </w:tcPr>
        <w:p w14:paraId="72746E3F" w14:textId="086867DB" w:rsidR="296079D6" w:rsidRDefault="296079D6" w:rsidP="296079D6">
          <w:pPr>
            <w:pStyle w:val="Kopfzeile"/>
            <w:jc w:val="center"/>
          </w:pPr>
        </w:p>
      </w:tc>
      <w:tc>
        <w:tcPr>
          <w:tcW w:w="3135" w:type="dxa"/>
        </w:tcPr>
        <w:p w14:paraId="21F1D28C" w14:textId="1B826CAC" w:rsidR="296079D6" w:rsidRDefault="296079D6" w:rsidP="296079D6">
          <w:pPr>
            <w:pStyle w:val="Kopfzeile"/>
            <w:ind w:right="-115"/>
            <w:jc w:val="right"/>
          </w:pPr>
        </w:p>
      </w:tc>
    </w:tr>
  </w:tbl>
  <w:p w14:paraId="6D27F183" w14:textId="7AC7FD41" w:rsidR="296079D6" w:rsidRDefault="296079D6" w:rsidP="296079D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A5A7" w14:textId="77777777" w:rsidR="00143839" w:rsidRDefault="00143839" w:rsidP="00F716D4">
      <w:r>
        <w:separator/>
      </w:r>
    </w:p>
    <w:p w14:paraId="3B4BEB82" w14:textId="77777777" w:rsidR="00143839" w:rsidRDefault="00143839" w:rsidP="00F716D4"/>
  </w:footnote>
  <w:footnote w:type="continuationSeparator" w:id="0">
    <w:p w14:paraId="31788E01" w14:textId="77777777" w:rsidR="00143839" w:rsidRDefault="00143839" w:rsidP="00F716D4">
      <w:r>
        <w:continuationSeparator/>
      </w:r>
    </w:p>
    <w:p w14:paraId="78EC997F" w14:textId="77777777" w:rsidR="00143839" w:rsidRDefault="00143839" w:rsidP="00F716D4"/>
  </w:footnote>
  <w:footnote w:type="continuationNotice" w:id="1">
    <w:p w14:paraId="7B61130A" w14:textId="77777777" w:rsidR="00143839" w:rsidRDefault="00143839"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Kopfzeile"/>
            <w:ind w:left="-115"/>
            <w:jc w:val="left"/>
          </w:pPr>
        </w:p>
      </w:tc>
      <w:tc>
        <w:tcPr>
          <w:tcW w:w="3020" w:type="dxa"/>
        </w:tcPr>
        <w:p w14:paraId="5F6E5D6D" w14:textId="78CCE3A7" w:rsidR="296079D6" w:rsidRDefault="296079D6" w:rsidP="296079D6">
          <w:pPr>
            <w:pStyle w:val="Kopfzeile"/>
            <w:jc w:val="center"/>
          </w:pPr>
        </w:p>
      </w:tc>
      <w:tc>
        <w:tcPr>
          <w:tcW w:w="3020" w:type="dxa"/>
        </w:tcPr>
        <w:p w14:paraId="6E6D04F9" w14:textId="6B14CEDE" w:rsidR="296079D6" w:rsidRDefault="296079D6" w:rsidP="296079D6">
          <w:pPr>
            <w:pStyle w:val="Kopfzeile"/>
            <w:ind w:right="-115"/>
            <w:jc w:val="right"/>
          </w:pPr>
        </w:p>
      </w:tc>
    </w:tr>
  </w:tbl>
  <w:p w14:paraId="6E7E6717" w14:textId="102B89E2" w:rsidR="296079D6" w:rsidRDefault="296079D6" w:rsidP="296079D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Kopfzeile"/>
            <w:ind w:left="-115"/>
            <w:jc w:val="left"/>
          </w:pPr>
        </w:p>
      </w:tc>
      <w:tc>
        <w:tcPr>
          <w:tcW w:w="3135" w:type="dxa"/>
        </w:tcPr>
        <w:p w14:paraId="0682432A" w14:textId="50492F17" w:rsidR="296079D6" w:rsidRDefault="296079D6" w:rsidP="296079D6">
          <w:pPr>
            <w:pStyle w:val="Kopfzeile"/>
            <w:jc w:val="center"/>
          </w:pPr>
        </w:p>
      </w:tc>
      <w:tc>
        <w:tcPr>
          <w:tcW w:w="3135" w:type="dxa"/>
        </w:tcPr>
        <w:p w14:paraId="390C9734" w14:textId="5CD98D2D" w:rsidR="296079D6" w:rsidRDefault="296079D6" w:rsidP="296079D6">
          <w:pPr>
            <w:pStyle w:val="Kopfzeile"/>
            <w:ind w:right="-115"/>
            <w:jc w:val="right"/>
          </w:pPr>
        </w:p>
      </w:tc>
    </w:tr>
  </w:tbl>
  <w:p w14:paraId="0B2F4F8F" w14:textId="20D35276" w:rsidR="296079D6" w:rsidRDefault="296079D6" w:rsidP="296079D6">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Kopfzeile"/>
            <w:ind w:left="-115"/>
            <w:jc w:val="left"/>
          </w:pPr>
        </w:p>
      </w:tc>
      <w:tc>
        <w:tcPr>
          <w:tcW w:w="3135" w:type="dxa"/>
        </w:tcPr>
        <w:p w14:paraId="52F93C1D" w14:textId="138730E9" w:rsidR="296079D6" w:rsidRDefault="296079D6" w:rsidP="296079D6">
          <w:pPr>
            <w:pStyle w:val="Kopfzeile"/>
            <w:jc w:val="center"/>
          </w:pPr>
        </w:p>
      </w:tc>
      <w:tc>
        <w:tcPr>
          <w:tcW w:w="3135" w:type="dxa"/>
        </w:tcPr>
        <w:p w14:paraId="4FD76FD1" w14:textId="7BFB4000" w:rsidR="296079D6" w:rsidRDefault="296079D6" w:rsidP="296079D6">
          <w:pPr>
            <w:pStyle w:val="Kopfzeile"/>
            <w:ind w:right="-115"/>
            <w:jc w:val="right"/>
          </w:pPr>
        </w:p>
      </w:tc>
    </w:tr>
  </w:tbl>
  <w:p w14:paraId="6902044D" w14:textId="0EB4ACA7" w:rsidR="296079D6" w:rsidRDefault="296079D6" w:rsidP="296079D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1B07A95"/>
    <w:multiLevelType w:val="multilevel"/>
    <w:tmpl w:val="F42E46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4FD00BB"/>
    <w:multiLevelType w:val="multilevel"/>
    <w:tmpl w:val="63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0330BC5"/>
    <w:multiLevelType w:val="multilevel"/>
    <w:tmpl w:val="6CAE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4E1AA0"/>
    <w:multiLevelType w:val="multilevel"/>
    <w:tmpl w:val="3A2865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berschrift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15:restartNumberingAfterBreak="0">
    <w:nsid w:val="7FEF56C0"/>
    <w:multiLevelType w:val="hybridMultilevel"/>
    <w:tmpl w:val="3CD65192"/>
    <w:lvl w:ilvl="0" w:tplc="E674947E">
      <w:start w:val="1"/>
      <w:numFmt w:val="decimal"/>
      <w:pStyle w:val="berschrift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7"/>
  </w:num>
  <w:num w:numId="2" w16cid:durableId="1769932826">
    <w:abstractNumId w:val="20"/>
  </w:num>
  <w:num w:numId="3" w16cid:durableId="550074866">
    <w:abstractNumId w:val="12"/>
  </w:num>
  <w:num w:numId="4" w16cid:durableId="1881627233">
    <w:abstractNumId w:val="26"/>
  </w:num>
  <w:num w:numId="5" w16cid:durableId="208225584">
    <w:abstractNumId w:val="0"/>
  </w:num>
  <w:num w:numId="6" w16cid:durableId="1787233265">
    <w:abstractNumId w:val="5"/>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3"/>
  </w:num>
  <w:num w:numId="9" w16cid:durableId="1008846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9"/>
  </w:num>
  <w:num w:numId="12" w16cid:durableId="1500659627">
    <w:abstractNumId w:val="32"/>
  </w:num>
  <w:num w:numId="13" w16cid:durableId="1879658227">
    <w:abstractNumId w:val="24"/>
  </w:num>
  <w:num w:numId="14" w16cid:durableId="1495758855">
    <w:abstractNumId w:val="11"/>
  </w:num>
  <w:num w:numId="15" w16cid:durableId="1186556611">
    <w:abstractNumId w:val="2"/>
  </w:num>
  <w:num w:numId="16" w16cid:durableId="679087124">
    <w:abstractNumId w:val="15"/>
  </w:num>
  <w:num w:numId="17" w16cid:durableId="1695498691">
    <w:abstractNumId w:val="16"/>
  </w:num>
  <w:num w:numId="18" w16cid:durableId="1042363640">
    <w:abstractNumId w:val="18"/>
  </w:num>
  <w:num w:numId="19" w16cid:durableId="820345968">
    <w:abstractNumId w:val="28"/>
  </w:num>
  <w:num w:numId="20" w16cid:durableId="1805388212">
    <w:abstractNumId w:val="37"/>
  </w:num>
  <w:num w:numId="21" w16cid:durableId="538709007">
    <w:abstractNumId w:val="27"/>
  </w:num>
  <w:num w:numId="22" w16cid:durableId="104540172">
    <w:abstractNumId w:val="10"/>
  </w:num>
  <w:num w:numId="23" w16cid:durableId="1824349076">
    <w:abstractNumId w:val="31"/>
  </w:num>
  <w:num w:numId="24" w16cid:durableId="672032853">
    <w:abstractNumId w:val="30"/>
  </w:num>
  <w:num w:numId="25" w16cid:durableId="48917541">
    <w:abstractNumId w:val="21"/>
  </w:num>
  <w:num w:numId="26" w16cid:durableId="978925443">
    <w:abstractNumId w:val="34"/>
  </w:num>
  <w:num w:numId="27" w16cid:durableId="1036613928">
    <w:abstractNumId w:val="39"/>
  </w:num>
  <w:num w:numId="28" w16cid:durableId="872039349">
    <w:abstractNumId w:val="8"/>
  </w:num>
  <w:num w:numId="29" w16cid:durableId="924530660">
    <w:abstractNumId w:val="4"/>
  </w:num>
  <w:num w:numId="30" w16cid:durableId="419180233">
    <w:abstractNumId w:val="23"/>
  </w:num>
  <w:num w:numId="31" w16cid:durableId="276761337">
    <w:abstractNumId w:val="22"/>
  </w:num>
  <w:num w:numId="32" w16cid:durableId="1166238383">
    <w:abstractNumId w:val="36"/>
  </w:num>
  <w:num w:numId="33" w16cid:durableId="2076850202">
    <w:abstractNumId w:val="35"/>
  </w:num>
  <w:num w:numId="34" w16cid:durableId="469176496">
    <w:abstractNumId w:val="13"/>
  </w:num>
  <w:num w:numId="35" w16cid:durableId="674843309">
    <w:abstractNumId w:val="19"/>
  </w:num>
  <w:num w:numId="36" w16cid:durableId="1954971501">
    <w:abstractNumId w:val="40"/>
  </w:num>
  <w:num w:numId="37" w16cid:durableId="1576435306">
    <w:abstractNumId w:val="25"/>
  </w:num>
  <w:num w:numId="38" w16cid:durableId="1512723959">
    <w:abstractNumId w:val="1"/>
  </w:num>
  <w:num w:numId="39" w16cid:durableId="1411581840">
    <w:abstractNumId w:val="3"/>
  </w:num>
  <w:num w:numId="40" w16cid:durableId="1530802538">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4D6"/>
    <w:rsid w:val="00034960"/>
    <w:rsid w:val="00036028"/>
    <w:rsid w:val="00036FAE"/>
    <w:rsid w:val="00041858"/>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2CB8"/>
    <w:rsid w:val="00123D39"/>
    <w:rsid w:val="001244CD"/>
    <w:rsid w:val="0012566F"/>
    <w:rsid w:val="001262B1"/>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0F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620"/>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1126"/>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F1C"/>
    <w:rsid w:val="00C05105"/>
    <w:rsid w:val="00C05202"/>
    <w:rsid w:val="00C05A5D"/>
    <w:rsid w:val="00C0654A"/>
    <w:rsid w:val="00C06DE3"/>
    <w:rsid w:val="00C06F97"/>
    <w:rsid w:val="00C10BE6"/>
    <w:rsid w:val="00C10DA9"/>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5603"/>
    <w:rsid w:val="00D75FEE"/>
    <w:rsid w:val="00D76933"/>
    <w:rsid w:val="00D76D88"/>
    <w:rsid w:val="00D77CC9"/>
    <w:rsid w:val="00D83D4B"/>
    <w:rsid w:val="00D871C6"/>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DF"/>
    <w:rsid w:val="00DB6C46"/>
    <w:rsid w:val="00DB72B8"/>
    <w:rsid w:val="00DC0A6B"/>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58E6"/>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6F9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257"/>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Standard">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berschrift1">
    <w:name w:val="heading 1"/>
    <w:basedOn w:val="Standard"/>
    <w:next w:val="Standard"/>
    <w:link w:val="berschrift1Zchn"/>
    <w:qFormat/>
    <w:locked/>
    <w:rsid w:val="00BB1973"/>
    <w:pPr>
      <w:keepNext/>
      <w:numPr>
        <w:numId w:val="36"/>
      </w:numPr>
      <w:spacing w:before="240" w:after="60" w:line="360" w:lineRule="auto"/>
      <w:outlineLvl w:val="0"/>
    </w:pPr>
    <w:rPr>
      <w:b/>
      <w:bCs/>
      <w:color w:val="00379F"/>
      <w:kern w:val="32"/>
      <w:sz w:val="28"/>
      <w:szCs w:val="28"/>
    </w:rPr>
  </w:style>
  <w:style w:type="paragraph" w:styleId="berschrift2">
    <w:name w:val="heading 2"/>
    <w:basedOn w:val="Standard"/>
    <w:next w:val="Standard"/>
    <w:link w:val="berschrift2Zchn"/>
    <w:qFormat/>
    <w:locked/>
    <w:rsid w:val="00886A60"/>
    <w:pPr>
      <w:keepNext/>
      <w:keepLines/>
      <w:spacing w:before="200" w:after="120"/>
      <w:outlineLvl w:val="1"/>
    </w:pPr>
    <w:rPr>
      <w:b/>
      <w:bCs/>
      <w:szCs w:val="26"/>
    </w:rPr>
  </w:style>
  <w:style w:type="paragraph" w:styleId="berschrift3">
    <w:name w:val="heading 3"/>
    <w:basedOn w:val="Standard"/>
    <w:next w:val="Standard"/>
    <w:link w:val="berschrift3Zchn"/>
    <w:qFormat/>
    <w:locked/>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uiPriority w:val="9"/>
    <w:qFormat/>
    <w:locked/>
    <w:rsid w:val="00E9344E"/>
    <w:pPr>
      <w:keepNext/>
      <w:keepLines/>
      <w:numPr>
        <w:numId w:val="12"/>
      </w:numPr>
      <w:spacing w:before="200"/>
      <w:outlineLvl w:val="4"/>
    </w:pPr>
    <w:rPr>
      <w:b/>
    </w:rPr>
  </w:style>
  <w:style w:type="paragraph" w:styleId="berschrift6">
    <w:name w:val="heading 6"/>
    <w:basedOn w:val="Standard"/>
    <w:next w:val="Standard"/>
    <w:link w:val="berschrift6Zchn"/>
    <w:qFormat/>
    <w:locked/>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locked/>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locked/>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locked/>
    <w:rsid w:val="00A06867"/>
    <w:pPr>
      <w:tabs>
        <w:tab w:val="num" w:pos="1584"/>
      </w:tabs>
      <w:spacing w:before="240" w:after="60"/>
      <w:ind w:left="1584" w:hanging="1584"/>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qFormat/>
    <w:locked/>
    <w:rsid w:val="005B64CB"/>
    <w:pPr>
      <w:tabs>
        <w:tab w:val="center" w:pos="4536"/>
        <w:tab w:val="right" w:pos="9072"/>
      </w:tabs>
    </w:pPr>
  </w:style>
  <w:style w:type="paragraph" w:styleId="Fuzeile">
    <w:name w:val="footer"/>
    <w:basedOn w:val="Standard"/>
    <w:link w:val="FuzeileZchn"/>
    <w:uiPriority w:val="99"/>
    <w:locked/>
    <w:rsid w:val="005B64CB"/>
    <w:pPr>
      <w:tabs>
        <w:tab w:val="center" w:pos="4536"/>
        <w:tab w:val="right" w:pos="9072"/>
      </w:tabs>
    </w:pPr>
  </w:style>
  <w:style w:type="table" w:styleId="Tabellenraster">
    <w:name w:val="Table Grid"/>
    <w:basedOn w:val="NormaleTabelle"/>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locked/>
    <w:rsid w:val="003E3ACA"/>
    <w:pPr>
      <w:spacing w:line="200" w:lineRule="exact"/>
    </w:pPr>
    <w:rPr>
      <w:color w:val="2D4190"/>
      <w:sz w:val="16"/>
    </w:rPr>
  </w:style>
  <w:style w:type="paragraph" w:customStyle="1" w:styleId="05aTitle">
    <w:name w:val="05a_Title"/>
    <w:basedOn w:val="Standard"/>
    <w:locked/>
    <w:rsid w:val="00791EB4"/>
    <w:pPr>
      <w:spacing w:line="340" w:lineRule="exact"/>
    </w:pPr>
    <w:rPr>
      <w:b/>
      <w:color w:val="000000"/>
      <w:sz w:val="28"/>
    </w:rPr>
  </w:style>
  <w:style w:type="paragraph" w:customStyle="1" w:styleId="02Date">
    <w:name w:val="02_Date"/>
    <w:basedOn w:val="Standard"/>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Standard"/>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Seitenzahl">
    <w:name w:val="page number"/>
    <w:basedOn w:val="Absatz-Standardschriftar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qFormat/>
    <w:locked/>
    <w:rsid w:val="001725A5"/>
    <w:pPr>
      <w:spacing w:line="200" w:lineRule="exact"/>
    </w:pPr>
    <w:rPr>
      <w:sz w:val="16"/>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Verzeichnis2">
    <w:name w:val="toc 2"/>
    <w:basedOn w:val="Standard"/>
    <w:next w:val="Standard"/>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Standard"/>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Kommentarzeichen">
    <w:name w:val="annotation reference"/>
    <w:locked/>
    <w:rsid w:val="004B1E61"/>
    <w:rPr>
      <w:sz w:val="16"/>
      <w:szCs w:val="16"/>
    </w:rPr>
  </w:style>
  <w:style w:type="paragraph" w:styleId="Kommentartext">
    <w:name w:val="annotation text"/>
    <w:basedOn w:val="Standard"/>
    <w:link w:val="KommentartextZchn"/>
    <w:locked/>
    <w:rsid w:val="004B1E61"/>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locked/>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locked/>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Paragraphe de liste,Normal Nivel 1,List Paragraph Main,List first level,List Paragraph_Sections"/>
    <w:basedOn w:val="Standard"/>
    <w:link w:val="ListenabsatzZchn"/>
    <w:uiPriority w:val="34"/>
    <w:qFormat/>
    <w:locked/>
    <w:rsid w:val="002A0C82"/>
    <w:pPr>
      <w:ind w:left="720"/>
      <w:contextualSpacing/>
    </w:pPr>
  </w:style>
  <w:style w:type="paragraph" w:styleId="Inhaltsverzeichnisberschrift">
    <w:name w:val="TOC Heading"/>
    <w:basedOn w:val="berschrift1"/>
    <w:next w:val="Standard"/>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locked/>
    <w:rsid w:val="008E1B6A"/>
  </w:style>
  <w:style w:type="paragraph" w:customStyle="1" w:styleId="ManualNumPar1">
    <w:name w:val="Manual NumPar 1"/>
    <w:basedOn w:val="Standard"/>
    <w:next w:val="Standard"/>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Hervorhebung">
    <w:name w:val="Emphasis"/>
    <w:uiPriority w:val="20"/>
    <w:qFormat/>
    <w:locked/>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styleId="Verzeichnis4">
    <w:name w:val="toc 4"/>
    <w:basedOn w:val="Standard"/>
    <w:next w:val="Standard"/>
    <w:autoRedefine/>
    <w:uiPriority w:val="39"/>
    <w:unhideWhenUsed/>
    <w:locked/>
    <w:rsid w:val="00F377CD"/>
    <w:pPr>
      <w:spacing w:after="100"/>
      <w:ind w:left="660"/>
    </w:pPr>
    <w:rPr>
      <w:rFonts w:ascii="Calibri" w:hAnsi="Calibri"/>
      <w:szCs w:val="22"/>
      <w:lang w:eastAsia="en-GB"/>
    </w:rPr>
  </w:style>
  <w:style w:type="paragraph" w:styleId="Verzeichnis5">
    <w:name w:val="toc 5"/>
    <w:basedOn w:val="Standard"/>
    <w:next w:val="Standard"/>
    <w:autoRedefine/>
    <w:uiPriority w:val="39"/>
    <w:unhideWhenUsed/>
    <w:locked/>
    <w:rsid w:val="00F377CD"/>
    <w:pPr>
      <w:spacing w:after="100"/>
      <w:ind w:left="880"/>
    </w:pPr>
    <w:rPr>
      <w:rFonts w:ascii="Calibri" w:hAnsi="Calibri"/>
      <w:szCs w:val="22"/>
      <w:lang w:eastAsia="en-GB"/>
    </w:rPr>
  </w:style>
  <w:style w:type="paragraph" w:styleId="Verzeichnis6">
    <w:name w:val="toc 6"/>
    <w:basedOn w:val="Standard"/>
    <w:next w:val="Standard"/>
    <w:autoRedefine/>
    <w:uiPriority w:val="39"/>
    <w:unhideWhenUsed/>
    <w:locked/>
    <w:rsid w:val="00F377CD"/>
    <w:pPr>
      <w:spacing w:after="100"/>
      <w:ind w:left="1100"/>
    </w:pPr>
    <w:rPr>
      <w:rFonts w:ascii="Calibri" w:hAnsi="Calibri"/>
      <w:szCs w:val="22"/>
      <w:lang w:eastAsia="en-GB"/>
    </w:rPr>
  </w:style>
  <w:style w:type="paragraph" w:styleId="Verzeichnis7">
    <w:name w:val="toc 7"/>
    <w:basedOn w:val="Standard"/>
    <w:next w:val="Standard"/>
    <w:autoRedefine/>
    <w:uiPriority w:val="39"/>
    <w:unhideWhenUsed/>
    <w:locked/>
    <w:rsid w:val="00F377CD"/>
    <w:pPr>
      <w:spacing w:after="100"/>
      <w:ind w:left="1320"/>
    </w:pPr>
    <w:rPr>
      <w:rFonts w:ascii="Calibri" w:hAnsi="Calibri"/>
      <w:szCs w:val="22"/>
      <w:lang w:eastAsia="en-GB"/>
    </w:rPr>
  </w:style>
  <w:style w:type="paragraph" w:styleId="Verzeichnis8">
    <w:name w:val="toc 8"/>
    <w:basedOn w:val="Standard"/>
    <w:next w:val="Standard"/>
    <w:autoRedefine/>
    <w:uiPriority w:val="39"/>
    <w:unhideWhenUsed/>
    <w:locked/>
    <w:rsid w:val="00F377CD"/>
    <w:pPr>
      <w:spacing w:after="100"/>
      <w:ind w:left="1540"/>
    </w:pPr>
    <w:rPr>
      <w:rFonts w:ascii="Calibri" w:hAnsi="Calibri"/>
      <w:szCs w:val="22"/>
      <w:lang w:eastAsia="en-GB"/>
    </w:rPr>
  </w:style>
  <w:style w:type="paragraph" w:styleId="Verzeichnis9">
    <w:name w:val="toc 9"/>
    <w:basedOn w:val="Standard"/>
    <w:next w:val="Standard"/>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Beschriftung">
    <w:name w:val="caption"/>
    <w:basedOn w:val="Standard"/>
    <w:next w:val="Standard"/>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kumentstruktur">
    <w:name w:val="Document Map"/>
    <w:basedOn w:val="Standard"/>
    <w:link w:val="DokumentstrukturZchn"/>
    <w:locked/>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lock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locked/>
    <w:rsid w:val="00AA016B"/>
    <w:pPr>
      <w:numPr>
        <w:numId w:val="7"/>
      </w:numPr>
      <w:spacing w:after="240"/>
    </w:pPr>
    <w:rPr>
      <w:rFonts w:ascii="Times New Roman" w:hAnsi="Times New Roman"/>
      <w:sz w:val="24"/>
      <w:lang w:eastAsia="en-GB"/>
    </w:rPr>
  </w:style>
  <w:style w:type="character" w:customStyle="1" w:styleId="TextkrperZchn">
    <w:name w:val="Textkörper Zchn"/>
    <w:link w:val="Textkrper"/>
    <w:rsid w:val="00AA016B"/>
    <w:rPr>
      <w:rFonts w:eastAsiaTheme="minorEastAsia" w:cs="Arial"/>
      <w:color w:val="1A1A1A" w:themeColor="background1" w:themeShade="1A"/>
      <w:sz w:val="24"/>
    </w:rPr>
  </w:style>
  <w:style w:type="paragraph" w:customStyle="1" w:styleId="ListParagraph1">
    <w:name w:val="List Paragraph1"/>
    <w:basedOn w:val="Standard"/>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Fett">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Standard"/>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rFonts w:eastAsiaTheme="minorEastAsia" w:cs="Arial"/>
      <w:b/>
      <w:bCs/>
      <w:color w:val="1A1A1A" w:themeColor="background1" w:themeShade="1A"/>
      <w:sz w:val="22"/>
      <w:szCs w:val="22"/>
      <w:lang w:eastAsia="en-US"/>
    </w:rPr>
  </w:style>
  <w:style w:type="character" w:customStyle="1" w:styleId="berschrift8Zchn">
    <w:name w:val="Überschrift 8 Zchn"/>
    <w:link w:val="berschrift8"/>
    <w:rsid w:val="002D6E1A"/>
    <w:rPr>
      <w:rFonts w:eastAsiaTheme="minorEastAsia" w:cs="Arial"/>
      <w:i/>
      <w:iCs/>
      <w:color w:val="1A1A1A" w:themeColor="background1" w:themeShade="1A"/>
      <w:sz w:val="22"/>
      <w:lang w:eastAsia="en-US"/>
    </w:rPr>
  </w:style>
  <w:style w:type="numbering" w:customStyle="1" w:styleId="NoList1">
    <w:name w:val="No List1"/>
    <w:next w:val="KeineListe"/>
    <w:uiPriority w:val="99"/>
    <w:semiHidden/>
    <w:unhideWhenUsed/>
    <w:locked/>
    <w:rsid w:val="002D6E1A"/>
  </w:style>
  <w:style w:type="character" w:styleId="BesuchterLink">
    <w:name w:val="FollowedHyperlink"/>
    <w:unhideWhenUsed/>
    <w:locked/>
    <w:rsid w:val="002D6E1A"/>
    <w:rPr>
      <w:color w:val="800080"/>
      <w:u w:val="single"/>
    </w:rPr>
  </w:style>
  <w:style w:type="character" w:customStyle="1" w:styleId="KopfzeileZchn">
    <w:name w:val="Kopfzeile Zchn"/>
    <w:link w:val="Kopfzeile"/>
    <w:uiPriority w:val="99"/>
    <w:rsid w:val="002D6E1A"/>
    <w:rPr>
      <w:rFonts w:ascii="Georgia" w:hAnsi="Georgia"/>
      <w:sz w:val="22"/>
      <w:szCs w:val="24"/>
      <w:lang w:eastAsia="de-DE"/>
    </w:rPr>
  </w:style>
  <w:style w:type="character" w:customStyle="1" w:styleId="FuzeileZchn">
    <w:name w:val="Fußzeile Zchn"/>
    <w:link w:val="Fuzeile"/>
    <w:uiPriority w:val="99"/>
    <w:rsid w:val="002D6E1A"/>
    <w:rPr>
      <w:rFonts w:ascii="Georgia" w:hAnsi="Georgia"/>
      <w:sz w:val="22"/>
      <w:szCs w:val="24"/>
      <w:lang w:eastAsia="de-DE"/>
    </w:rPr>
  </w:style>
  <w:style w:type="paragraph" w:styleId="Endnotentext">
    <w:name w:val="endnote text"/>
    <w:basedOn w:val="Standard"/>
    <w:link w:val="EndnotentextZchn"/>
    <w:unhideWhenUsed/>
    <w:locked/>
    <w:rsid w:val="002D6E1A"/>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locked/>
    <w:rsid w:val="002D6E1A"/>
    <w:pPr>
      <w:numPr>
        <w:numId w:val="8"/>
      </w:numPr>
      <w:spacing w:before="120" w:after="120"/>
      <w:ind w:left="360" w:hanging="360"/>
    </w:pPr>
    <w:rPr>
      <w:rFonts w:ascii="Times New Roman" w:hAnsi="Times New Roman"/>
      <w:sz w:val="24"/>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link w:val="Listenabsatz"/>
    <w:uiPriority w:val="34"/>
    <w:locked/>
    <w:rsid w:val="002D6E1A"/>
    <w:rPr>
      <w:rFonts w:ascii="Georgia" w:hAnsi="Georgia"/>
      <w:sz w:val="22"/>
      <w:szCs w:val="24"/>
      <w:lang w:eastAsia="de-DE"/>
    </w:rPr>
  </w:style>
  <w:style w:type="paragraph" w:customStyle="1" w:styleId="04anumbering0">
    <w:name w:val="04anumbering"/>
    <w:basedOn w:val="Standard"/>
    <w:locked/>
    <w:rsid w:val="002D6E1A"/>
    <w:pPr>
      <w:tabs>
        <w:tab w:val="num" w:pos="360"/>
      </w:tabs>
    </w:pPr>
    <w:rPr>
      <w:rFonts w:eastAsia="Calibri"/>
      <w:lang w:eastAsia="en-GB"/>
    </w:rPr>
  </w:style>
  <w:style w:type="paragraph" w:customStyle="1" w:styleId="Tiret1">
    <w:name w:val="Tiret 1"/>
    <w:basedOn w:val="Standard"/>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locked/>
    <w:rsid w:val="002D6E1A"/>
    <w:pPr>
      <w:ind w:left="708"/>
      <w:contextualSpacing w:val="0"/>
    </w:pPr>
    <w:rPr>
      <w:b/>
      <w:u w:val="single"/>
    </w:rPr>
  </w:style>
  <w:style w:type="paragraph" w:customStyle="1" w:styleId="Bullet">
    <w:name w:val="Bullet"/>
    <w:basedOn w:val="Standard"/>
    <w:locked/>
    <w:rsid w:val="002D6E1A"/>
    <w:pPr>
      <w:numPr>
        <w:numId w:val="10"/>
      </w:numPr>
      <w:tabs>
        <w:tab w:val="left" w:pos="708"/>
      </w:tabs>
      <w:spacing w:before="120" w:after="120"/>
    </w:pPr>
    <w:rPr>
      <w:lang w:eastAsia="en-GB"/>
    </w:rPr>
  </w:style>
  <w:style w:type="character" w:styleId="Endnotenzeichen">
    <w:name w:val="endnote reference"/>
    <w:unhideWhenUsed/>
    <w:locked/>
    <w:rsid w:val="002D6E1A"/>
    <w:rPr>
      <w:vertAlign w:val="superscript"/>
    </w:rPr>
  </w:style>
  <w:style w:type="character" w:styleId="Platzhalt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NormaleTabelle"/>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locked/>
    <w:rsid w:val="00952F2C"/>
  </w:style>
  <w:style w:type="paragraph" w:customStyle="1" w:styleId="aStyle">
    <w:name w:val="a) Style"/>
    <w:basedOn w:val="Standard"/>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berschrift5Zchn">
    <w:name w:val="Überschrift 5 Zchn"/>
    <w:aliases w:val="Questions Zchn"/>
    <w:link w:val="berschrift5"/>
    <w:uiPriority w:val="9"/>
    <w:rsid w:val="00E9344E"/>
    <w:rPr>
      <w:rFonts w:ascii="Arial" w:eastAsiaTheme="minorEastAsia" w:hAnsi="Arial" w:cs="Arial"/>
      <w:b/>
      <w:color w:val="1A1A1A" w:themeColor="background1" w:themeShade="1A"/>
      <w:sz w:val="22"/>
      <w:lang w:eastAsia="en-US"/>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Standard"/>
    <w:locked/>
    <w:rsid w:val="000D2D0B"/>
    <w:pPr>
      <w:spacing w:line="340" w:lineRule="exact"/>
      <w:ind w:left="397" w:hanging="397"/>
    </w:pPr>
    <w:rPr>
      <w:b/>
      <w:caps/>
      <w:color w:val="2D4190"/>
      <w:sz w:val="28"/>
      <w:lang w:val="de-DE"/>
    </w:rPr>
  </w:style>
  <w:style w:type="paragraph" w:customStyle="1" w:styleId="04RunningText">
    <w:name w:val="04_Running Text"/>
    <w:basedOn w:val="Standard"/>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berschrift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berschrift1"/>
    <w:next w:val="Standard"/>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locked/>
    <w:rsid w:val="000D2D0B"/>
    <w:pPr>
      <w:tabs>
        <w:tab w:val="num" w:pos="284"/>
      </w:tabs>
      <w:ind w:left="284" w:hanging="284"/>
    </w:pPr>
    <w:rPr>
      <w:rFonts w:eastAsia="Calibri"/>
      <w:lang w:eastAsia="en-GB"/>
    </w:rPr>
  </w:style>
  <w:style w:type="paragraph" w:customStyle="1" w:styleId="Listenabsatz1">
    <w:name w:val="Listenabsatz1"/>
    <w:basedOn w:val="Standard"/>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Standard"/>
    <w:locked/>
    <w:rsid w:val="000D2D0B"/>
    <w:pPr>
      <w:spacing w:line="260" w:lineRule="atLeast"/>
      <w:ind w:left="720"/>
      <w:contextualSpacing/>
    </w:pPr>
    <w:rPr>
      <w:rFonts w:ascii="Verdana" w:hAnsi="Verdana"/>
      <w:kern w:val="10"/>
      <w:lang w:val="de-DE"/>
    </w:rPr>
  </w:style>
  <w:style w:type="paragraph" w:customStyle="1" w:styleId="Considrant">
    <w:name w:val="Considérant"/>
    <w:basedOn w:val="Standard"/>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Standard"/>
    <w:next w:val="Standard"/>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Standard"/>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Standard"/>
    <w:rsid w:val="000D2D0B"/>
  </w:style>
  <w:style w:type="paragraph" w:customStyle="1" w:styleId="Sbuchead">
    <w:name w:val="Sbuchead"/>
    <w:basedOn w:val="Standard"/>
    <w:locked/>
    <w:rsid w:val="000D2D0B"/>
    <w:pPr>
      <w:spacing w:after="360"/>
    </w:pPr>
    <w:rPr>
      <w:rFonts w:ascii="Times New Roman" w:hAnsi="Times New Roman"/>
      <w:b/>
      <w:caps/>
      <w:sz w:val="24"/>
      <w:lang w:eastAsia="en-GB"/>
    </w:rPr>
  </w:style>
  <w:style w:type="paragraph" w:customStyle="1" w:styleId="Applicationdirecte">
    <w:name w:val="Application directe"/>
    <w:basedOn w:val="Standard"/>
    <w:next w:val="Fait"/>
    <w:locked/>
    <w:rsid w:val="000D2D0B"/>
    <w:pPr>
      <w:spacing w:before="480" w:after="120"/>
    </w:pPr>
    <w:rPr>
      <w:rFonts w:ascii="Times New Roman" w:hAnsi="Times New Roman"/>
      <w:sz w:val="24"/>
    </w:rPr>
  </w:style>
  <w:style w:type="paragraph" w:customStyle="1" w:styleId="Fait">
    <w:name w:val="Fait à"/>
    <w:basedOn w:val="Standard"/>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Standard"/>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Standard"/>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Standard"/>
    <w:next w:val="Standard"/>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locked/>
    <w:rsid w:val="000D2D0B"/>
    <w:pPr>
      <w:spacing w:before="360" w:after="360"/>
      <w:jc w:val="center"/>
    </w:pPr>
    <w:rPr>
      <w:rFonts w:ascii="Times New Roman" w:hAnsi="Times New Roman"/>
      <w:b/>
      <w:sz w:val="24"/>
    </w:rPr>
  </w:style>
  <w:style w:type="paragraph" w:customStyle="1" w:styleId="Typedudocument">
    <w:name w:val="Type du document"/>
    <w:basedOn w:val="Standard"/>
    <w:next w:val="Titreobjet"/>
    <w:locked/>
    <w:rsid w:val="000D2D0B"/>
    <w:pPr>
      <w:spacing w:before="360"/>
      <w:jc w:val="center"/>
    </w:pPr>
    <w:rPr>
      <w:rFonts w:ascii="Times New Roman" w:hAnsi="Times New Roman"/>
      <w:b/>
      <w:sz w:val="24"/>
    </w:rPr>
  </w:style>
  <w:style w:type="paragraph" w:customStyle="1" w:styleId="HeaderLandscape">
    <w:name w:val="HeaderLandscape"/>
    <w:basedOn w:val="Standard"/>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Standard"/>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Standard"/>
    <w:locked/>
    <w:rsid w:val="000D2D0B"/>
    <w:pPr>
      <w:spacing w:before="120" w:after="120"/>
      <w:ind w:left="850"/>
    </w:pPr>
    <w:rPr>
      <w:rFonts w:ascii="Times New Roman" w:hAnsi="Times New Roman"/>
      <w:sz w:val="24"/>
    </w:rPr>
  </w:style>
  <w:style w:type="paragraph" w:customStyle="1" w:styleId="Text2">
    <w:name w:val="Text 2"/>
    <w:basedOn w:val="Standard"/>
    <w:locked/>
    <w:rsid w:val="000D2D0B"/>
    <w:pPr>
      <w:spacing w:before="120" w:after="120"/>
      <w:ind w:left="1417"/>
    </w:pPr>
    <w:rPr>
      <w:rFonts w:ascii="Times New Roman" w:hAnsi="Times New Roman"/>
      <w:sz w:val="24"/>
    </w:rPr>
  </w:style>
  <w:style w:type="paragraph" w:customStyle="1" w:styleId="Text3">
    <w:name w:val="Text 3"/>
    <w:basedOn w:val="Standard"/>
    <w:locked/>
    <w:rsid w:val="000D2D0B"/>
    <w:pPr>
      <w:spacing w:before="120" w:after="120"/>
      <w:ind w:left="1984"/>
    </w:pPr>
    <w:rPr>
      <w:rFonts w:ascii="Times New Roman" w:hAnsi="Times New Roman"/>
      <w:sz w:val="24"/>
    </w:rPr>
  </w:style>
  <w:style w:type="paragraph" w:customStyle="1" w:styleId="Text4">
    <w:name w:val="Text 4"/>
    <w:basedOn w:val="Standard"/>
    <w:locked/>
    <w:rsid w:val="000D2D0B"/>
    <w:pPr>
      <w:spacing w:before="120" w:after="120"/>
      <w:ind w:left="2551"/>
    </w:pPr>
    <w:rPr>
      <w:rFonts w:ascii="Times New Roman" w:hAnsi="Times New Roman"/>
      <w:sz w:val="24"/>
    </w:rPr>
  </w:style>
  <w:style w:type="paragraph" w:customStyle="1" w:styleId="NormalCentered">
    <w:name w:val="Normal Centered"/>
    <w:basedOn w:val="Standard"/>
    <w:rsid w:val="000D2D0B"/>
    <w:pPr>
      <w:spacing w:before="120" w:after="120"/>
      <w:jc w:val="center"/>
    </w:pPr>
    <w:rPr>
      <w:rFonts w:ascii="Times New Roman" w:hAnsi="Times New Roman"/>
      <w:sz w:val="24"/>
    </w:rPr>
  </w:style>
  <w:style w:type="paragraph" w:customStyle="1" w:styleId="NormalLeft">
    <w:name w:val="Normal Left"/>
    <w:basedOn w:val="Standard"/>
    <w:rsid w:val="000D2D0B"/>
    <w:pPr>
      <w:spacing w:before="120" w:after="120"/>
    </w:pPr>
    <w:rPr>
      <w:rFonts w:ascii="Times New Roman" w:hAnsi="Times New Roman"/>
      <w:sz w:val="24"/>
    </w:rPr>
  </w:style>
  <w:style w:type="paragraph" w:customStyle="1" w:styleId="NormalRight">
    <w:name w:val="Normal Right"/>
    <w:basedOn w:val="Standard"/>
    <w:rsid w:val="000D2D0B"/>
    <w:pPr>
      <w:spacing w:before="120" w:after="120"/>
      <w:jc w:val="right"/>
    </w:pPr>
    <w:rPr>
      <w:rFonts w:ascii="Times New Roman" w:hAnsi="Times New Roman"/>
      <w:sz w:val="24"/>
    </w:rPr>
  </w:style>
  <w:style w:type="paragraph" w:customStyle="1" w:styleId="QuotedText">
    <w:name w:val="Quoted Text"/>
    <w:basedOn w:val="Standard"/>
    <w:locked/>
    <w:rsid w:val="000D2D0B"/>
    <w:pPr>
      <w:spacing w:before="120" w:after="120"/>
      <w:ind w:left="1417"/>
    </w:pPr>
    <w:rPr>
      <w:rFonts w:ascii="Times New Roman" w:hAnsi="Times New Roman"/>
      <w:sz w:val="24"/>
    </w:rPr>
  </w:style>
  <w:style w:type="paragraph" w:customStyle="1" w:styleId="Point0">
    <w:name w:val="Point 0"/>
    <w:basedOn w:val="Standard"/>
    <w:locked/>
    <w:rsid w:val="000D2D0B"/>
    <w:pPr>
      <w:spacing w:before="120" w:after="120"/>
      <w:ind w:left="850" w:hanging="850"/>
    </w:pPr>
    <w:rPr>
      <w:rFonts w:ascii="Times New Roman" w:hAnsi="Times New Roman"/>
      <w:sz w:val="24"/>
    </w:rPr>
  </w:style>
  <w:style w:type="paragraph" w:customStyle="1" w:styleId="Point1">
    <w:name w:val="Point 1"/>
    <w:basedOn w:val="Standard"/>
    <w:locked/>
    <w:rsid w:val="000D2D0B"/>
    <w:pPr>
      <w:spacing w:before="120" w:after="120"/>
      <w:ind w:left="1417" w:hanging="567"/>
    </w:pPr>
    <w:rPr>
      <w:rFonts w:ascii="Times New Roman" w:hAnsi="Times New Roman"/>
      <w:sz w:val="24"/>
    </w:rPr>
  </w:style>
  <w:style w:type="paragraph" w:customStyle="1" w:styleId="Point2">
    <w:name w:val="Point 2"/>
    <w:basedOn w:val="Standard"/>
    <w:locked/>
    <w:rsid w:val="000D2D0B"/>
    <w:pPr>
      <w:spacing w:before="120" w:after="120"/>
      <w:ind w:left="1984" w:hanging="567"/>
    </w:pPr>
    <w:rPr>
      <w:rFonts w:ascii="Times New Roman" w:hAnsi="Times New Roman"/>
      <w:sz w:val="24"/>
    </w:rPr>
  </w:style>
  <w:style w:type="paragraph" w:customStyle="1" w:styleId="Point3">
    <w:name w:val="Point 3"/>
    <w:basedOn w:val="Standard"/>
    <w:locked/>
    <w:rsid w:val="000D2D0B"/>
    <w:pPr>
      <w:spacing w:before="120" w:after="120"/>
      <w:ind w:left="2551" w:hanging="567"/>
    </w:pPr>
    <w:rPr>
      <w:rFonts w:ascii="Times New Roman" w:hAnsi="Times New Roman"/>
      <w:sz w:val="24"/>
    </w:rPr>
  </w:style>
  <w:style w:type="paragraph" w:customStyle="1" w:styleId="Point4">
    <w:name w:val="Point 4"/>
    <w:basedOn w:val="Standard"/>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Standard"/>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Standard"/>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Standard"/>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Standard"/>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Standard"/>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Standard"/>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Standard"/>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Standard"/>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Standard"/>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Standard"/>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Standard"/>
    <w:next w:val="Text1"/>
    <w:locked/>
    <w:rsid w:val="000D2D0B"/>
    <w:pPr>
      <w:numPr>
        <w:numId w:val="20"/>
      </w:numPr>
      <w:spacing w:before="120" w:after="120"/>
    </w:pPr>
    <w:rPr>
      <w:rFonts w:ascii="Times New Roman" w:hAnsi="Times New Roman"/>
      <w:sz w:val="24"/>
    </w:rPr>
  </w:style>
  <w:style w:type="paragraph" w:customStyle="1" w:styleId="NumPar2">
    <w:name w:val="NumPar 2"/>
    <w:basedOn w:val="Standard"/>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Standard"/>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Standard"/>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Standard"/>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Standard"/>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Standard"/>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Standard"/>
    <w:locked/>
    <w:rsid w:val="000D2D0B"/>
    <w:pPr>
      <w:spacing w:before="120" w:after="120"/>
      <w:ind w:left="1417" w:hanging="567"/>
    </w:pPr>
    <w:rPr>
      <w:rFonts w:ascii="Times New Roman" w:hAnsi="Times New Roman"/>
      <w:sz w:val="24"/>
    </w:rPr>
  </w:style>
  <w:style w:type="paragraph" w:customStyle="1" w:styleId="ManualHeading1">
    <w:name w:val="Manual Heading 1"/>
    <w:basedOn w:val="Standard"/>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Standard"/>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Standard"/>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Standard"/>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Standard"/>
    <w:next w:val="Standard"/>
    <w:locked/>
    <w:rsid w:val="000D2D0B"/>
    <w:pPr>
      <w:keepNext/>
      <w:spacing w:before="120" w:after="360"/>
      <w:jc w:val="center"/>
    </w:pPr>
    <w:rPr>
      <w:rFonts w:ascii="Times New Roman" w:hAnsi="Times New Roman"/>
      <w:b/>
      <w:sz w:val="32"/>
    </w:rPr>
  </w:style>
  <w:style w:type="paragraph" w:customStyle="1" w:styleId="PartTitle">
    <w:name w:val="PartTitle"/>
    <w:basedOn w:val="Standard"/>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Standard"/>
    <w:next w:val="berschrift1"/>
    <w:locked/>
    <w:rsid w:val="000D2D0B"/>
    <w:pPr>
      <w:keepNext/>
      <w:spacing w:before="120" w:after="360"/>
      <w:jc w:val="center"/>
    </w:pPr>
    <w:rPr>
      <w:rFonts w:ascii="Times New Roman" w:hAnsi="Times New Roman"/>
      <w:b/>
      <w:smallCaps/>
      <w:sz w:val="28"/>
    </w:rPr>
  </w:style>
  <w:style w:type="paragraph" w:customStyle="1" w:styleId="TableTitle">
    <w:name w:val="Table Title"/>
    <w:basedOn w:val="Standard"/>
    <w:next w:val="Standard"/>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Standard"/>
    <w:locked/>
    <w:rsid w:val="000D2D0B"/>
    <w:pPr>
      <w:numPr>
        <w:numId w:val="27"/>
      </w:numPr>
      <w:spacing w:before="120" w:after="120"/>
    </w:pPr>
    <w:rPr>
      <w:rFonts w:ascii="Times New Roman" w:hAnsi="Times New Roman"/>
      <w:sz w:val="24"/>
    </w:rPr>
  </w:style>
  <w:style w:type="paragraph" w:customStyle="1" w:styleId="Point1number">
    <w:name w:val="Point 1 (number)"/>
    <w:basedOn w:val="Standard"/>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Standard"/>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Standard"/>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Standard"/>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Standard"/>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Standard"/>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Standard"/>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Standard"/>
    <w:locked/>
    <w:rsid w:val="000D2D0B"/>
    <w:pPr>
      <w:numPr>
        <w:ilvl w:val="8"/>
        <w:numId w:val="27"/>
      </w:numPr>
      <w:spacing w:before="120" w:after="120"/>
    </w:pPr>
    <w:rPr>
      <w:rFonts w:ascii="Times New Roman" w:hAnsi="Times New Roman"/>
      <w:sz w:val="24"/>
    </w:rPr>
  </w:style>
  <w:style w:type="paragraph" w:customStyle="1" w:styleId="Bullet0">
    <w:name w:val="Bullet 0"/>
    <w:basedOn w:val="Standard"/>
    <w:locked/>
    <w:rsid w:val="000D2D0B"/>
    <w:pPr>
      <w:numPr>
        <w:numId w:val="21"/>
      </w:numPr>
      <w:spacing w:before="120" w:after="120"/>
    </w:pPr>
    <w:rPr>
      <w:rFonts w:ascii="Times New Roman" w:hAnsi="Times New Roman"/>
      <w:sz w:val="24"/>
    </w:rPr>
  </w:style>
  <w:style w:type="paragraph" w:customStyle="1" w:styleId="Bullet1">
    <w:name w:val="Bullet 1"/>
    <w:basedOn w:val="Standard"/>
    <w:locked/>
    <w:rsid w:val="000D2D0B"/>
    <w:pPr>
      <w:numPr>
        <w:numId w:val="22"/>
      </w:numPr>
      <w:spacing w:before="120" w:after="120"/>
    </w:pPr>
    <w:rPr>
      <w:rFonts w:ascii="Times New Roman" w:hAnsi="Times New Roman"/>
      <w:sz w:val="24"/>
    </w:rPr>
  </w:style>
  <w:style w:type="paragraph" w:customStyle="1" w:styleId="Bullet2">
    <w:name w:val="Bullet 2"/>
    <w:basedOn w:val="Standard"/>
    <w:locked/>
    <w:rsid w:val="000D2D0B"/>
    <w:pPr>
      <w:numPr>
        <w:numId w:val="23"/>
      </w:numPr>
      <w:spacing w:before="120" w:after="120"/>
    </w:pPr>
    <w:rPr>
      <w:rFonts w:ascii="Times New Roman" w:hAnsi="Times New Roman"/>
      <w:sz w:val="24"/>
    </w:rPr>
  </w:style>
  <w:style w:type="paragraph" w:customStyle="1" w:styleId="Bullet3">
    <w:name w:val="Bullet 3"/>
    <w:basedOn w:val="Standard"/>
    <w:locked/>
    <w:rsid w:val="000D2D0B"/>
    <w:pPr>
      <w:numPr>
        <w:numId w:val="24"/>
      </w:numPr>
      <w:spacing w:before="120" w:after="120"/>
    </w:pPr>
    <w:rPr>
      <w:rFonts w:ascii="Times New Roman" w:hAnsi="Times New Roman"/>
      <w:sz w:val="24"/>
    </w:rPr>
  </w:style>
  <w:style w:type="paragraph" w:customStyle="1" w:styleId="Bullet4">
    <w:name w:val="Bullet 4"/>
    <w:basedOn w:val="Standard"/>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Standard"/>
    <w:next w:val="Standard"/>
    <w:locked/>
    <w:rsid w:val="000D2D0B"/>
    <w:pPr>
      <w:spacing w:before="120" w:after="120"/>
      <w:jc w:val="center"/>
    </w:pPr>
    <w:rPr>
      <w:rFonts w:ascii="Times New Roman" w:hAnsi="Times New Roman"/>
      <w:b/>
      <w:sz w:val="24"/>
      <w:u w:val="single"/>
    </w:rPr>
  </w:style>
  <w:style w:type="paragraph" w:customStyle="1" w:styleId="Annexetitre">
    <w:name w:val="Annexe titre"/>
    <w:basedOn w:val="Standard"/>
    <w:next w:val="Standard"/>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Standard"/>
    <w:next w:val="Standard"/>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Standard"/>
    <w:next w:val="Standard"/>
    <w:locked/>
    <w:rsid w:val="000D2D0B"/>
    <w:pPr>
      <w:keepNext/>
      <w:spacing w:before="480" w:after="120"/>
    </w:pPr>
    <w:rPr>
      <w:rFonts w:ascii="Times New Roman" w:hAnsi="Times New Roman"/>
      <w:sz w:val="24"/>
      <w:u w:val="single"/>
    </w:rPr>
  </w:style>
  <w:style w:type="paragraph" w:customStyle="1" w:styleId="Confidence">
    <w:name w:val="Confidence"/>
    <w:basedOn w:val="Standard"/>
    <w:next w:val="Standard"/>
    <w:locked/>
    <w:rsid w:val="000D2D0B"/>
    <w:pPr>
      <w:spacing w:before="360" w:after="120"/>
      <w:jc w:val="center"/>
    </w:pPr>
    <w:rPr>
      <w:rFonts w:ascii="Times New Roman" w:hAnsi="Times New Roman"/>
      <w:sz w:val="24"/>
    </w:rPr>
  </w:style>
  <w:style w:type="paragraph" w:customStyle="1" w:styleId="Confidentialit">
    <w:name w:val="Confidentialité"/>
    <w:basedOn w:val="Standard"/>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Standard"/>
    <w:next w:val="Standard"/>
    <w:locked/>
    <w:rsid w:val="000D2D0B"/>
    <w:pPr>
      <w:spacing w:after="240"/>
    </w:pPr>
    <w:rPr>
      <w:rFonts w:ascii="Times New Roman" w:hAnsi="Times New Roman"/>
      <w:sz w:val="24"/>
    </w:rPr>
  </w:style>
  <w:style w:type="paragraph" w:customStyle="1" w:styleId="Datedadoption">
    <w:name w:val="Date d'adoption"/>
    <w:basedOn w:val="Standard"/>
    <w:next w:val="Titreobjet"/>
    <w:locked/>
    <w:rsid w:val="000D2D0B"/>
    <w:pPr>
      <w:spacing w:before="360"/>
      <w:jc w:val="center"/>
    </w:pPr>
    <w:rPr>
      <w:rFonts w:ascii="Times New Roman" w:hAnsi="Times New Roman"/>
      <w:b/>
      <w:sz w:val="24"/>
    </w:rPr>
  </w:style>
  <w:style w:type="paragraph" w:customStyle="1" w:styleId="Emission">
    <w:name w:val="Emission"/>
    <w:basedOn w:val="Standard"/>
    <w:next w:val="Rfrenceinstitutionnelle"/>
    <w:locked/>
    <w:rsid w:val="000D2D0B"/>
    <w:pPr>
      <w:ind w:left="5103"/>
    </w:pPr>
    <w:rPr>
      <w:rFonts w:ascii="Times New Roman" w:hAnsi="Times New Roman"/>
      <w:sz w:val="24"/>
    </w:rPr>
  </w:style>
  <w:style w:type="paragraph" w:customStyle="1" w:styleId="Exposdesmotifstitre">
    <w:name w:val="Exposé des motifs titre"/>
    <w:basedOn w:val="Standard"/>
    <w:next w:val="Standard"/>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Standard"/>
    <w:next w:val="Standard"/>
    <w:locked/>
    <w:rsid w:val="000D2D0B"/>
    <w:pPr>
      <w:keepNext/>
      <w:spacing w:before="600" w:after="120"/>
    </w:pPr>
    <w:rPr>
      <w:rFonts w:ascii="Times New Roman" w:hAnsi="Times New Roman"/>
      <w:sz w:val="24"/>
    </w:rPr>
  </w:style>
  <w:style w:type="paragraph" w:customStyle="1" w:styleId="Langue">
    <w:name w:val="Langue"/>
    <w:basedOn w:val="Standard"/>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Standard"/>
    <w:locked/>
    <w:rsid w:val="000D2D0B"/>
    <w:pPr>
      <w:spacing w:before="120" w:after="120"/>
      <w:ind w:left="709" w:hanging="709"/>
    </w:pPr>
    <w:rPr>
      <w:rFonts w:ascii="Times New Roman" w:hAnsi="Times New Roman"/>
      <w:sz w:val="24"/>
    </w:rPr>
  </w:style>
  <w:style w:type="paragraph" w:customStyle="1" w:styleId="Nomdelinstitution">
    <w:name w:val="Nom de l'institution"/>
    <w:basedOn w:val="Standard"/>
    <w:next w:val="Emission"/>
    <w:locked/>
    <w:rsid w:val="000D2D0B"/>
    <w:rPr>
      <w:sz w:val="24"/>
    </w:rPr>
  </w:style>
  <w:style w:type="paragraph" w:customStyle="1" w:styleId="Rfrenceinstitutionnelle">
    <w:name w:val="Référence institutionnelle"/>
    <w:basedOn w:val="Standard"/>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Standard"/>
    <w:next w:val="Statut"/>
    <w:locked/>
    <w:rsid w:val="000D2D0B"/>
    <w:pPr>
      <w:ind w:left="5103"/>
    </w:pPr>
    <w:rPr>
      <w:rFonts w:ascii="Times New Roman" w:hAnsi="Times New Roman"/>
      <w:sz w:val="24"/>
    </w:rPr>
  </w:style>
  <w:style w:type="paragraph" w:customStyle="1" w:styleId="Rfrenceinterne">
    <w:name w:val="Référence interne"/>
    <w:basedOn w:val="Standard"/>
    <w:next w:val="Rfrenceinterinstitutionnelle"/>
    <w:locked/>
    <w:rsid w:val="000D2D0B"/>
    <w:pPr>
      <w:ind w:left="5103"/>
    </w:pPr>
    <w:rPr>
      <w:rFonts w:ascii="Times New Roman" w:hAnsi="Times New Roman"/>
      <w:sz w:val="24"/>
    </w:rPr>
  </w:style>
  <w:style w:type="paragraph" w:customStyle="1" w:styleId="Sous-titreobjet">
    <w:name w:val="Sous-titre objet"/>
    <w:basedOn w:val="Standard"/>
    <w:locked/>
    <w:rsid w:val="000D2D0B"/>
    <w:pPr>
      <w:jc w:val="center"/>
    </w:pPr>
    <w:rPr>
      <w:rFonts w:ascii="Times New Roman" w:hAnsi="Times New Roman"/>
      <w:b/>
      <w:sz w:val="24"/>
    </w:rPr>
  </w:style>
  <w:style w:type="paragraph" w:customStyle="1" w:styleId="Statut">
    <w:name w:val="Statut"/>
    <w:basedOn w:val="Standard"/>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Standard"/>
    <w:next w:val="Standard"/>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Standard"/>
    <w:next w:val="Standard"/>
    <w:locked/>
    <w:rsid w:val="000D2D0B"/>
    <w:pPr>
      <w:spacing w:before="120" w:after="120"/>
    </w:pPr>
    <w:rPr>
      <w:rFonts w:ascii="Times New Roman" w:hAnsi="Times New Roman"/>
      <w:i/>
      <w:caps/>
      <w:sz w:val="24"/>
    </w:rPr>
  </w:style>
  <w:style w:type="paragraph" w:customStyle="1" w:styleId="Pagedecouverture">
    <w:name w:val="Page de couverture"/>
    <w:basedOn w:val="Standard"/>
    <w:next w:val="Standard"/>
    <w:locked/>
    <w:rsid w:val="000D2D0B"/>
    <w:pPr>
      <w:spacing w:before="120" w:after="120"/>
    </w:pPr>
    <w:rPr>
      <w:rFonts w:ascii="Times New Roman" w:hAnsi="Times New Roman"/>
      <w:sz w:val="24"/>
    </w:rPr>
  </w:style>
  <w:style w:type="paragraph" w:customStyle="1" w:styleId="Supertitre">
    <w:name w:val="Supertitre"/>
    <w:basedOn w:val="Standard"/>
    <w:next w:val="Standard"/>
    <w:locked/>
    <w:rsid w:val="000D2D0B"/>
    <w:pPr>
      <w:spacing w:after="600"/>
      <w:jc w:val="center"/>
    </w:pPr>
    <w:rPr>
      <w:rFonts w:ascii="Times New Roman" w:hAnsi="Times New Roman"/>
      <w:b/>
      <w:sz w:val="24"/>
    </w:rPr>
  </w:style>
  <w:style w:type="paragraph" w:customStyle="1" w:styleId="Languesfaisantfoi">
    <w:name w:val="Langues faisant foi"/>
    <w:basedOn w:val="Standard"/>
    <w:next w:val="Standard"/>
    <w:locked/>
    <w:rsid w:val="000D2D0B"/>
    <w:pPr>
      <w:spacing w:before="360"/>
      <w:jc w:val="center"/>
    </w:pPr>
    <w:rPr>
      <w:rFonts w:ascii="Times New Roman" w:hAnsi="Times New Roman"/>
      <w:sz w:val="24"/>
    </w:rPr>
  </w:style>
  <w:style w:type="paragraph" w:customStyle="1" w:styleId="Rfrencecroise">
    <w:name w:val="Référence croisée"/>
    <w:basedOn w:val="Standard"/>
    <w:locked/>
    <w:rsid w:val="000D2D0B"/>
    <w:pPr>
      <w:jc w:val="center"/>
    </w:pPr>
    <w:rPr>
      <w:rFonts w:ascii="Times New Roman" w:hAnsi="Times New Roman"/>
      <w:sz w:val="24"/>
    </w:rPr>
  </w:style>
  <w:style w:type="paragraph" w:customStyle="1" w:styleId="Fichefinanciretitre">
    <w:name w:val="Fiche financière titre"/>
    <w:basedOn w:val="Standard"/>
    <w:next w:val="Standard"/>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Standard"/>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Standard"/>
    <w:locked/>
    <w:rsid w:val="000D2D0B"/>
    <w:pPr>
      <w:spacing w:after="240"/>
    </w:pPr>
  </w:style>
  <w:style w:type="paragraph" w:customStyle="1" w:styleId="Accompagnant">
    <w:name w:val="Accompagnant"/>
    <w:basedOn w:val="Standard"/>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Standard"/>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Standard"/>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Standard"/>
    <w:next w:val="Standard"/>
    <w:locked/>
    <w:rsid w:val="000D2D0B"/>
    <w:pPr>
      <w:spacing w:before="360"/>
      <w:jc w:val="center"/>
    </w:pPr>
    <w:rPr>
      <w:rFonts w:ascii="Times New Roman" w:hAnsi="Times New Roman"/>
      <w:sz w:val="24"/>
    </w:rPr>
  </w:style>
  <w:style w:type="paragraph" w:styleId="Listennummer2">
    <w:name w:val="List Number 2"/>
    <w:basedOn w:val="Standard"/>
    <w:locked/>
    <w:rsid w:val="000D2D0B"/>
    <w:pPr>
      <w:tabs>
        <w:tab w:val="num" w:pos="643"/>
      </w:tabs>
      <w:spacing w:before="120" w:after="120"/>
      <w:ind w:left="643" w:hanging="360"/>
    </w:pPr>
    <w:rPr>
      <w:rFonts w:ascii="Times New Roman" w:hAnsi="Times New Roman"/>
      <w:sz w:val="24"/>
    </w:rPr>
  </w:style>
  <w:style w:type="paragraph" w:styleId="Listennummer3">
    <w:name w:val="List Number 3"/>
    <w:basedOn w:val="Standard"/>
    <w:locked/>
    <w:rsid w:val="000D2D0B"/>
    <w:pPr>
      <w:tabs>
        <w:tab w:val="num" w:pos="926"/>
      </w:tabs>
      <w:spacing w:before="120" w:after="120"/>
      <w:ind w:left="926" w:hanging="360"/>
    </w:pPr>
    <w:rPr>
      <w:rFonts w:ascii="Times New Roman" w:hAnsi="Times New Roman"/>
      <w:sz w:val="24"/>
    </w:rPr>
  </w:style>
  <w:style w:type="paragraph" w:styleId="Listennummer4">
    <w:name w:val="List Number 4"/>
    <w:basedOn w:val="Standard"/>
    <w:locked/>
    <w:rsid w:val="000D2D0B"/>
    <w:pPr>
      <w:tabs>
        <w:tab w:val="num" w:pos="1209"/>
        <w:tab w:val="num" w:pos="1417"/>
      </w:tabs>
      <w:spacing w:before="120" w:after="120"/>
      <w:ind w:left="1209" w:hanging="360"/>
    </w:pPr>
    <w:rPr>
      <w:rFonts w:ascii="Times New Roman" w:hAnsi="Times New Roman"/>
      <w:sz w:val="24"/>
    </w:rPr>
  </w:style>
  <w:style w:type="paragraph" w:styleId="Aufzhlungszeichen">
    <w:name w:val="List Bullet"/>
    <w:basedOn w:val="Standard"/>
    <w:locked/>
    <w:rsid w:val="000D2D0B"/>
    <w:pPr>
      <w:numPr>
        <w:numId w:val="13"/>
      </w:numPr>
      <w:tabs>
        <w:tab w:val="num" w:pos="360"/>
      </w:tabs>
      <w:spacing w:before="120" w:after="120"/>
      <w:ind w:left="360" w:hanging="360"/>
    </w:pPr>
    <w:rPr>
      <w:rFonts w:ascii="Times New Roman" w:hAnsi="Times New Roman"/>
      <w:sz w:val="24"/>
    </w:rPr>
  </w:style>
  <w:style w:type="paragraph" w:styleId="Aufzhlungszeichen2">
    <w:name w:val="List Bullet 2"/>
    <w:basedOn w:val="Standard"/>
    <w:locked/>
    <w:rsid w:val="000D2D0B"/>
    <w:pPr>
      <w:tabs>
        <w:tab w:val="num" w:pos="643"/>
        <w:tab w:val="num" w:pos="851"/>
      </w:tabs>
      <w:spacing w:before="120" w:after="120"/>
      <w:ind w:left="643" w:hanging="360"/>
    </w:pPr>
    <w:rPr>
      <w:rFonts w:ascii="Times New Roman" w:hAnsi="Times New Roman"/>
      <w:sz w:val="24"/>
    </w:rPr>
  </w:style>
  <w:style w:type="paragraph" w:styleId="Aufzhlungszeichen3">
    <w:name w:val="List Bullet 3"/>
    <w:basedOn w:val="Standard"/>
    <w:locked/>
    <w:rsid w:val="000D2D0B"/>
    <w:pPr>
      <w:numPr>
        <w:numId w:val="15"/>
      </w:numPr>
      <w:tabs>
        <w:tab w:val="num" w:pos="926"/>
      </w:tabs>
      <w:spacing w:before="120" w:after="120"/>
      <w:ind w:left="926"/>
    </w:pPr>
    <w:rPr>
      <w:rFonts w:ascii="Times New Roman" w:hAnsi="Times New Roman"/>
      <w:sz w:val="24"/>
    </w:rPr>
  </w:style>
  <w:style w:type="paragraph" w:styleId="Aufzhlungszeichen4">
    <w:name w:val="List Bullet 4"/>
    <w:basedOn w:val="Standard"/>
    <w:locked/>
    <w:rsid w:val="000D2D0B"/>
    <w:pPr>
      <w:numPr>
        <w:numId w:val="16"/>
      </w:numPr>
      <w:tabs>
        <w:tab w:val="num" w:pos="1209"/>
      </w:tabs>
      <w:spacing w:before="120" w:after="120"/>
      <w:ind w:left="1209"/>
    </w:pPr>
    <w:rPr>
      <w:rFonts w:ascii="Times New Roman" w:hAnsi="Times New Roman"/>
      <w:sz w:val="24"/>
    </w:rPr>
  </w:style>
  <w:style w:type="paragraph" w:styleId="Abbildungsverzeichnis">
    <w:name w:val="table of figures"/>
    <w:basedOn w:val="Standard"/>
    <w:next w:val="Standard"/>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locked/>
    <w:rsid w:val="000D2D0B"/>
    <w:pPr>
      <w:ind w:left="720"/>
      <w:contextualSpacing/>
    </w:pPr>
    <w:rPr>
      <w:rFonts w:ascii="Cambria" w:hAnsi="Cambria"/>
      <w:sz w:val="24"/>
      <w:lang w:val="en-US"/>
    </w:rPr>
  </w:style>
  <w:style w:type="paragraph" w:customStyle="1" w:styleId="Listeavsnitt1">
    <w:name w:val="Listeavsnitt1"/>
    <w:basedOn w:val="Standard"/>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Standard"/>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Standard"/>
    <w:uiPriority w:val="99"/>
    <w:locked/>
    <w:rsid w:val="000D2D0B"/>
    <w:pPr>
      <w:ind w:left="720"/>
      <w:contextualSpacing/>
    </w:pPr>
    <w:rPr>
      <w:rFonts w:ascii="Cambria" w:hAnsi="Cambria"/>
      <w:sz w:val="24"/>
      <w:lang w:val="en-US"/>
    </w:rPr>
  </w:style>
  <w:style w:type="paragraph" w:customStyle="1" w:styleId="ListParagraph2">
    <w:name w:val="List Paragraph2"/>
    <w:basedOn w:val="Standard"/>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berschrift1"/>
    <w:next w:val="Standard"/>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Standard"/>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Standard"/>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Standard"/>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el">
    <w:name w:val="Title"/>
    <w:basedOn w:val="Standard"/>
    <w:next w:val="Standard"/>
    <w:link w:val="TitelZchn"/>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locked/>
    <w:rsid w:val="000D2D0B"/>
    <w:pPr>
      <w:spacing w:before="320" w:line="260" w:lineRule="exact"/>
    </w:pPr>
    <w:rPr>
      <w:rFonts w:ascii="Myriad Pro Light" w:hAnsi="Myriad Pro Light"/>
      <w:b/>
      <w:sz w:val="21"/>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locked/>
    <w:rsid w:val="003A6E9A"/>
    <w:rPr>
      <w:b/>
      <w:i w:val="0"/>
      <w:iCs/>
      <w:sz w:val="20"/>
    </w:rPr>
  </w:style>
  <w:style w:type="paragraph" w:customStyle="1" w:styleId="NEW-Paragraph-Level1">
    <w:name w:val="NEW-Paragraph-Level1"/>
    <w:basedOn w:val="Standard"/>
    <w:locked/>
    <w:rsid w:val="003A6E9A"/>
    <w:pPr>
      <w:tabs>
        <w:tab w:val="num" w:pos="284"/>
      </w:tabs>
      <w:ind w:left="284" w:hanging="284"/>
    </w:pPr>
  </w:style>
  <w:style w:type="paragraph" w:customStyle="1" w:styleId="NEW-Paragraph-level2">
    <w:name w:val="NEW-Paragraph-level2"/>
    <w:basedOn w:val="Standard"/>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Standard"/>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Standard"/>
    <w:locked/>
    <w:rsid w:val="003A6E9A"/>
    <w:pPr>
      <w:keepNext/>
      <w:numPr>
        <w:numId w:val="29"/>
      </w:numPr>
      <w:spacing w:before="240"/>
      <w:outlineLvl w:val="0"/>
    </w:pPr>
    <w:rPr>
      <w:b/>
      <w:bCs/>
      <w:kern w:val="32"/>
      <w:sz w:val="28"/>
      <w:szCs w:val="28"/>
    </w:rPr>
  </w:style>
  <w:style w:type="paragraph" w:customStyle="1" w:styleId="NEW-Level1">
    <w:name w:val="NEW-Level1"/>
    <w:basedOn w:val="Standard"/>
    <w:locked/>
    <w:rsid w:val="003A6E9A"/>
    <w:pPr>
      <w:keepNext/>
      <w:numPr>
        <w:ilvl w:val="1"/>
        <w:numId w:val="29"/>
      </w:numPr>
      <w:spacing w:before="240"/>
      <w:outlineLvl w:val="0"/>
    </w:pPr>
    <w:rPr>
      <w:b/>
      <w:bCs/>
      <w:kern w:val="32"/>
      <w:sz w:val="24"/>
      <w:szCs w:val="32"/>
    </w:rPr>
  </w:style>
  <w:style w:type="paragraph" w:customStyle="1" w:styleId="NEW-Level2">
    <w:name w:val="NEW-Level2"/>
    <w:basedOn w:val="Standard"/>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Standard"/>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Standard"/>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Standard"/>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Standard"/>
    <w:link w:val="CPQuestionsChar"/>
    <w:qFormat/>
    <w:locked/>
    <w:rsid w:val="00EF0769"/>
    <w:pPr>
      <w:numPr>
        <w:numId w:val="31"/>
      </w:numPr>
      <w:spacing w:before="250"/>
    </w:pPr>
    <w:rPr>
      <w:rFonts w:cstheme="minorBidi"/>
      <w:b/>
    </w:rPr>
  </w:style>
  <w:style w:type="character" w:customStyle="1" w:styleId="CPQuestionsChar">
    <w:name w:val="CP_Questions Char"/>
    <w:basedOn w:val="Absatz-Standardschriftar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iveHervorhebung">
    <w:name w:val="Intense Emphasis"/>
    <w:basedOn w:val="Absatz-Standardschriftart"/>
    <w:uiPriority w:val="21"/>
    <w:qFormat/>
    <w:locked/>
    <w:rsid w:val="00D34282"/>
    <w:rPr>
      <w:b/>
      <w:bCs/>
      <w:i/>
      <w:iCs/>
    </w:rPr>
  </w:style>
  <w:style w:type="character" w:customStyle="1" w:styleId="CPTitle1Char">
    <w:name w:val="CP_Title1 Char"/>
    <w:basedOn w:val="Absatz-Standardschriftar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berschrift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berschrift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Standard"/>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Standard"/>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Standard"/>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Standard"/>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Standard"/>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Standard"/>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Standard"/>
    <w:next w:val="Standard"/>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Absatz-Standardschriftar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Fett"/>
    <w:uiPriority w:val="1"/>
    <w:qFormat/>
    <w:rsid w:val="00F87468"/>
    <w:rPr>
      <w:b w:val="0"/>
      <w:bCs/>
      <w:caps/>
      <w:smallCaps w:val="0"/>
      <w:color w:val="F79646" w:themeColor="accent6"/>
      <w:sz w:val="22"/>
    </w:rPr>
  </w:style>
  <w:style w:type="paragraph" w:styleId="Untertitel">
    <w:name w:val="Subtitle"/>
    <w:basedOn w:val="Standard"/>
    <w:next w:val="Standard"/>
    <w:link w:val="UntertitelZchn"/>
    <w:uiPriority w:val="11"/>
    <w:qFormat/>
    <w:locked/>
    <w:rsid w:val="00E70E2E"/>
    <w:pPr>
      <w:numPr>
        <w:ilvl w:val="1"/>
      </w:numPr>
    </w:pPr>
    <w:rPr>
      <w:rFonts w:eastAsiaTheme="majorEastAsia"/>
      <w:b/>
      <w:bCs/>
      <w:sz w:val="28"/>
    </w:rPr>
  </w:style>
  <w:style w:type="character" w:customStyle="1" w:styleId="UntertitelZchn">
    <w:name w:val="Untertitel Zchn"/>
    <w:basedOn w:val="Absatz-Standardschriftart"/>
    <w:link w:val="Untertitel"/>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Standard"/>
    <w:link w:val="HeaderFootChar"/>
    <w:qFormat/>
    <w:rsid w:val="00F716D4"/>
    <w:pPr>
      <w:spacing w:after="0"/>
      <w:jc w:val="right"/>
    </w:pPr>
    <w:rPr>
      <w:color w:val="001B4F"/>
      <w:sz w:val="16"/>
      <w:szCs w:val="16"/>
    </w:rPr>
  </w:style>
  <w:style w:type="character" w:styleId="NichtaufgelsteErwhnung">
    <w:name w:val="Unresolved Mention"/>
    <w:basedOn w:val="Absatz-Standardschriftart"/>
    <w:uiPriority w:val="99"/>
    <w:semiHidden/>
    <w:unhideWhenUsed/>
    <w:rsid w:val="0034374F"/>
    <w:rPr>
      <w:color w:val="605E5C"/>
      <w:shd w:val="clear" w:color="auto" w:fill="E1DFDD"/>
    </w:rPr>
  </w:style>
  <w:style w:type="character" w:customStyle="1" w:styleId="HeaderFootChar">
    <w:name w:val="HeaderFoot Char"/>
    <w:basedOn w:val="Absatz-Standardschriftar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Standard"/>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Absatz-Standardschriftar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Absatz-Standardschriftar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7C169-B082-42D7-95A8-39DCDC7C43D3}">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d667209d-b9a4-40b6-9e60-58adc13a6cfb"/>
    <ds:schemaRef ds:uri="d0fb0f98-34f9-4d57-9559-eb8efd17aa5e"/>
  </ds:schemaRefs>
</ds:datastoreItem>
</file>

<file path=customXml/itemProps2.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6.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2102</Words>
  <Characters>12327</Characters>
  <Application>Microsoft Office Word</Application>
  <DocSecurity>0</DocSecurity>
  <Lines>102</Lines>
  <Paragraphs>28</Paragraphs>
  <ScaleCrop>false</ScaleCrop>
  <Company>ESMA</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Bähr, Merlin</cp:lastModifiedBy>
  <cp:revision>2</cp:revision>
  <cp:lastPrinted>2015-02-18T20:01:00Z</cp:lastPrinted>
  <dcterms:created xsi:type="dcterms:W3CDTF">2025-08-14T08:42:00Z</dcterms:created>
  <dcterms:modified xsi:type="dcterms:W3CDTF">2025-08-14T08:42:00Z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