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Pr="003A5F6E"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Pr="003A5F6E" w:rsidRDefault="00C54034" w:rsidP="00F716D4"/>
    <w:p w14:paraId="4712A2DF" w14:textId="77777777" w:rsidR="00C54034" w:rsidRPr="003A5F6E" w:rsidRDefault="00C54034" w:rsidP="00F716D4"/>
    <w:p w14:paraId="36E65717" w14:textId="77777777" w:rsidR="00F87468" w:rsidRPr="003A5F6E" w:rsidRDefault="00F87468" w:rsidP="00F716D4">
      <w:pPr>
        <w:rPr>
          <w:rFonts w:eastAsiaTheme="majorEastAsia"/>
          <w:b/>
          <w:bCs/>
          <w:color w:val="00379F"/>
          <w:sz w:val="56"/>
          <w:szCs w:val="56"/>
        </w:rPr>
      </w:pPr>
      <w:r w:rsidRPr="003A5F6E">
        <w:rPr>
          <w:rFonts w:eastAsiaTheme="majorEastAsia"/>
          <w:b/>
          <w:bCs/>
          <w:color w:val="00379F"/>
          <w:sz w:val="56"/>
          <w:szCs w:val="56"/>
        </w:rPr>
        <w:t xml:space="preserve">Reply </w:t>
      </w:r>
      <w:bookmarkStart w:id="3" w:name="_Hlk124776289"/>
      <w:r w:rsidRPr="003A5F6E">
        <w:rPr>
          <w:rFonts w:eastAsiaTheme="majorEastAsia"/>
          <w:b/>
          <w:bCs/>
          <w:color w:val="00379F"/>
          <w:sz w:val="56"/>
          <w:szCs w:val="56"/>
        </w:rPr>
        <w:t>form</w:t>
      </w:r>
      <w:bookmarkEnd w:id="0"/>
    </w:p>
    <w:p w14:paraId="75AB79F2" w14:textId="67A08586" w:rsidR="004E60D2" w:rsidRPr="003A5F6E" w:rsidRDefault="007C5962" w:rsidP="004E60D2">
      <w:pPr>
        <w:pStyle w:val="Subtitle"/>
        <w:spacing w:after="0"/>
        <w:rPr>
          <w:b w:val="0"/>
          <w:bCs w:val="0"/>
        </w:rPr>
        <w:sectPr w:rsidR="004E60D2" w:rsidRPr="003A5F6E"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rsidRPr="003A5F6E">
        <w:t xml:space="preserve">Consultation Paper on draft RTS on </w:t>
      </w:r>
      <w:r w:rsidR="00BF5B3D" w:rsidRPr="003A5F6E">
        <w:t>Margin Transparency</w:t>
      </w:r>
      <w:r w:rsidR="00BF5B3D" w:rsidRPr="003A5F6E">
        <w:rPr>
          <w:b w:val="0"/>
          <w:bCs w:val="0"/>
        </w:rPr>
        <w:t xml:space="preserve"> </w:t>
      </w:r>
      <w:r w:rsidR="004E60D2" w:rsidRPr="003A5F6E">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837F0"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3A5F6E">
        <w:t>Requirements</w:t>
      </w:r>
      <w:r w:rsidR="00CE1420" w:rsidRPr="003A5F6E">
        <w:t xml:space="preserve"> (Article 38(10) of EMIR)</w:t>
      </w:r>
    </w:p>
    <w:p w14:paraId="1B9D7190" w14:textId="7487B8C5" w:rsidR="00F574D0" w:rsidRPr="003A5F6E" w:rsidRDefault="00F574D0" w:rsidP="004E60D2">
      <w:pPr>
        <w:pStyle w:val="Subtitle"/>
      </w:pPr>
      <w:bookmarkStart w:id="4" w:name="_Toc280628648"/>
      <w:bookmarkEnd w:id="1"/>
      <w:bookmarkEnd w:id="2"/>
      <w:bookmarkEnd w:id="3"/>
      <w:r w:rsidRPr="003A5F6E">
        <w:lastRenderedPageBreak/>
        <w:t xml:space="preserve">Responding to this paper </w:t>
      </w:r>
    </w:p>
    <w:p w14:paraId="239321DC" w14:textId="77777777" w:rsidR="00E70E2E" w:rsidRPr="003A5F6E" w:rsidRDefault="00E70E2E" w:rsidP="00E70E2E">
      <w:r w:rsidRPr="003A5F6E">
        <w:t xml:space="preserve">ESMA invites comments on all matters in the Consultation Paper and </w:t>
      </w:r>
      <w:proofErr w:type="gramStart"/>
      <w:r w:rsidRPr="003A5F6E">
        <w:t>in particular on</w:t>
      </w:r>
      <w:proofErr w:type="gramEnd"/>
      <w:r w:rsidRPr="003A5F6E">
        <w:t xml:space="preserve"> the specific questions in this reply form. Comments are most helpful if they:</w:t>
      </w:r>
    </w:p>
    <w:p w14:paraId="5E86C3E5" w14:textId="77777777" w:rsidR="00E70E2E" w:rsidRPr="003A5F6E" w:rsidRDefault="00E70E2E" w:rsidP="00E43387">
      <w:pPr>
        <w:pStyle w:val="ListParagraph"/>
        <w:numPr>
          <w:ilvl w:val="0"/>
          <w:numId w:val="35"/>
        </w:numPr>
        <w:contextualSpacing w:val="0"/>
      </w:pPr>
      <w:r w:rsidRPr="003A5F6E">
        <w:t xml:space="preserve">respond to the question </w:t>
      </w:r>
      <w:proofErr w:type="gramStart"/>
      <w:r w:rsidRPr="003A5F6E">
        <w:t>stated;</w:t>
      </w:r>
      <w:proofErr w:type="gramEnd"/>
    </w:p>
    <w:p w14:paraId="73161343" w14:textId="77777777" w:rsidR="00E70E2E" w:rsidRPr="003A5F6E" w:rsidRDefault="00E70E2E" w:rsidP="00E43387">
      <w:pPr>
        <w:pStyle w:val="ListParagraph"/>
        <w:numPr>
          <w:ilvl w:val="0"/>
          <w:numId w:val="35"/>
        </w:numPr>
        <w:contextualSpacing w:val="0"/>
      </w:pPr>
      <w:r w:rsidRPr="003A5F6E">
        <w:t xml:space="preserve">indicate the specific question to which the comment </w:t>
      </w:r>
      <w:proofErr w:type="gramStart"/>
      <w:r w:rsidRPr="003A5F6E">
        <w:t>relates;</w:t>
      </w:r>
      <w:proofErr w:type="gramEnd"/>
    </w:p>
    <w:p w14:paraId="30EDE0D6" w14:textId="77777777" w:rsidR="00E70E2E" w:rsidRPr="003A5F6E" w:rsidRDefault="00E70E2E" w:rsidP="00E43387">
      <w:pPr>
        <w:pStyle w:val="ListParagraph"/>
        <w:numPr>
          <w:ilvl w:val="0"/>
          <w:numId w:val="35"/>
        </w:numPr>
        <w:contextualSpacing w:val="0"/>
      </w:pPr>
      <w:r w:rsidRPr="003A5F6E">
        <w:t>contain a clear rationale; and</w:t>
      </w:r>
    </w:p>
    <w:p w14:paraId="30D73002" w14:textId="77777777" w:rsidR="00E70E2E" w:rsidRPr="003A5F6E" w:rsidRDefault="00E70E2E" w:rsidP="00E43387">
      <w:pPr>
        <w:pStyle w:val="ListParagraph"/>
        <w:numPr>
          <w:ilvl w:val="0"/>
          <w:numId w:val="35"/>
        </w:numPr>
        <w:contextualSpacing w:val="0"/>
      </w:pPr>
      <w:r w:rsidRPr="003A5F6E">
        <w:t>describe any alternatives ESMA should consider.</w:t>
      </w:r>
    </w:p>
    <w:p w14:paraId="4A599464" w14:textId="2E61F5C7" w:rsidR="00E70E2E" w:rsidRPr="003A5F6E" w:rsidRDefault="00E70E2E" w:rsidP="00E70E2E">
      <w:pPr>
        <w:rPr>
          <w:b/>
        </w:rPr>
      </w:pPr>
      <w:r w:rsidRPr="003A5F6E">
        <w:t xml:space="preserve">ESMA will consider all comments received by </w:t>
      </w:r>
      <w:r w:rsidR="00941D26" w:rsidRPr="003A5F6E">
        <w:rPr>
          <w:b/>
        </w:rPr>
        <w:t>8</w:t>
      </w:r>
      <w:r w:rsidR="00122CB8" w:rsidRPr="003A5F6E">
        <w:rPr>
          <w:b/>
        </w:rPr>
        <w:t xml:space="preserve"> September</w:t>
      </w:r>
      <w:r w:rsidR="009E1C55" w:rsidRPr="003A5F6E">
        <w:rPr>
          <w:b/>
        </w:rPr>
        <w:t xml:space="preserve"> </w:t>
      </w:r>
      <w:r w:rsidR="005A775C" w:rsidRPr="003A5F6E">
        <w:rPr>
          <w:b/>
        </w:rPr>
        <w:t>202</w:t>
      </w:r>
      <w:r w:rsidR="002E2DC6" w:rsidRPr="003A5F6E">
        <w:rPr>
          <w:b/>
        </w:rPr>
        <w:t>5</w:t>
      </w:r>
      <w:r w:rsidRPr="003A5F6E">
        <w:rPr>
          <w:b/>
        </w:rPr>
        <w:t xml:space="preserve">. </w:t>
      </w:r>
    </w:p>
    <w:p w14:paraId="41568876" w14:textId="77777777" w:rsidR="00F574D0" w:rsidRPr="003A5F6E" w:rsidRDefault="00F574D0" w:rsidP="009D6E99">
      <w:pPr>
        <w:pStyle w:val="aNew-Level33"/>
      </w:pPr>
      <w:r w:rsidRPr="003A5F6E">
        <w:t>Instructions</w:t>
      </w:r>
    </w:p>
    <w:p w14:paraId="62FC7F26" w14:textId="77777777" w:rsidR="009D6E99" w:rsidRPr="003A5F6E" w:rsidRDefault="009D6E99" w:rsidP="009D6E99">
      <w:proofErr w:type="gramStart"/>
      <w:r w:rsidRPr="003A5F6E">
        <w:t>In order to</w:t>
      </w:r>
      <w:proofErr w:type="gramEnd"/>
      <w:r w:rsidRPr="003A5F6E">
        <w:t xml:space="preserve"> facilitate analysis of responses to the Consultation Paper, respondents are requested to follow the below steps when preparing and submitting their response:</w:t>
      </w:r>
    </w:p>
    <w:p w14:paraId="0BA6B4DE" w14:textId="77777777" w:rsidR="009D6E99" w:rsidRPr="003A5F6E" w:rsidRDefault="009D6E99" w:rsidP="00E43387">
      <w:pPr>
        <w:pStyle w:val="ListParagraph"/>
        <w:numPr>
          <w:ilvl w:val="0"/>
          <w:numId w:val="35"/>
        </w:numPr>
        <w:contextualSpacing w:val="0"/>
      </w:pPr>
      <w:r w:rsidRPr="003A5F6E">
        <w:t xml:space="preserve">Insert your responses to the questions in the Consultation Paper in this reply form. </w:t>
      </w:r>
    </w:p>
    <w:p w14:paraId="15756259" w14:textId="1673BFCA" w:rsidR="009D6E99" w:rsidRPr="003A5F6E" w:rsidRDefault="009D6E99" w:rsidP="00E43387">
      <w:pPr>
        <w:pStyle w:val="ListParagraph"/>
        <w:numPr>
          <w:ilvl w:val="0"/>
          <w:numId w:val="35"/>
        </w:numPr>
        <w:contextualSpacing w:val="0"/>
      </w:pPr>
      <w:r w:rsidRPr="003A5F6E">
        <w:t>Please do not remove tags of the type &lt;ESMA_QUESTION</w:t>
      </w:r>
      <w:r w:rsidR="00C05202" w:rsidRPr="003A5F6E">
        <w:t>_</w:t>
      </w:r>
      <w:r w:rsidR="00F136FD" w:rsidRPr="003A5F6E">
        <w:t>MARG</w:t>
      </w:r>
      <w:r w:rsidR="00C05202" w:rsidRPr="003A5F6E">
        <w:t>_</w:t>
      </w:r>
      <w:r w:rsidRPr="003A5F6E">
        <w:t xml:space="preserve">1&gt;. Your response to each question </w:t>
      </w:r>
      <w:proofErr w:type="gramStart"/>
      <w:r w:rsidRPr="003A5F6E">
        <w:t>has to</w:t>
      </w:r>
      <w:proofErr w:type="gramEnd"/>
      <w:r w:rsidRPr="003A5F6E">
        <w:t xml:space="preserve"> be framed by the two tags corresponding to the question.</w:t>
      </w:r>
    </w:p>
    <w:p w14:paraId="534A9E90" w14:textId="77777777" w:rsidR="009D6E99" w:rsidRPr="003A5F6E" w:rsidRDefault="009D6E99" w:rsidP="00E43387">
      <w:pPr>
        <w:pStyle w:val="ListParagraph"/>
        <w:numPr>
          <w:ilvl w:val="0"/>
          <w:numId w:val="35"/>
        </w:numPr>
        <w:contextualSpacing w:val="0"/>
      </w:pPr>
      <w:r w:rsidRPr="003A5F6E">
        <w:t>If you do not wish to respond to a given question, please do not delete it but simply leave the text “TYPE YOUR TEXT HERE” between the tags.</w:t>
      </w:r>
    </w:p>
    <w:p w14:paraId="399C1605" w14:textId="38B4482B" w:rsidR="009D6E99" w:rsidRPr="003A5F6E" w:rsidRDefault="009D6E99" w:rsidP="00E43387">
      <w:pPr>
        <w:pStyle w:val="ListParagraph"/>
        <w:numPr>
          <w:ilvl w:val="0"/>
          <w:numId w:val="35"/>
        </w:numPr>
        <w:contextualSpacing w:val="0"/>
      </w:pPr>
      <w:r w:rsidRPr="003A5F6E">
        <w:t xml:space="preserve">When you have drafted your responses, save the reply form according to the following convention: </w:t>
      </w:r>
      <w:proofErr w:type="spellStart"/>
      <w:r w:rsidRPr="003A5F6E">
        <w:t>ESMA_</w:t>
      </w:r>
      <w:r w:rsidR="005B277C" w:rsidRPr="003A5F6E">
        <w:t>MARG</w:t>
      </w:r>
      <w:r w:rsidRPr="003A5F6E">
        <w:t>_nameofrespondent</w:t>
      </w:r>
      <w:proofErr w:type="spellEnd"/>
      <w:r w:rsidRPr="003A5F6E">
        <w:t xml:space="preserve">. </w:t>
      </w:r>
    </w:p>
    <w:p w14:paraId="115A7ABF" w14:textId="1B4EC248" w:rsidR="009D6E99" w:rsidRPr="003A5F6E" w:rsidRDefault="009D6E99" w:rsidP="009D6E99">
      <w:pPr>
        <w:pStyle w:val="ListParagraph"/>
        <w:ind w:left="360"/>
        <w:contextualSpacing w:val="0"/>
      </w:pPr>
      <w:r w:rsidRPr="003A5F6E">
        <w:t>For example, for a respondent named ABCD, the reply form would be saved with the following name: ESMA_</w:t>
      </w:r>
      <w:r w:rsidR="005B277C" w:rsidRPr="003A5F6E">
        <w:t>MARG</w:t>
      </w:r>
      <w:r w:rsidRPr="003A5F6E">
        <w:t>_ABCD.</w:t>
      </w:r>
    </w:p>
    <w:p w14:paraId="175B3887" w14:textId="22A43A3A" w:rsidR="009D6E99" w:rsidRPr="003A5F6E" w:rsidRDefault="009D6E99" w:rsidP="00E43387">
      <w:pPr>
        <w:pStyle w:val="ListParagraph"/>
        <w:numPr>
          <w:ilvl w:val="0"/>
          <w:numId w:val="35"/>
        </w:numPr>
        <w:contextualSpacing w:val="0"/>
      </w:pPr>
      <w:r w:rsidRPr="003A5F6E">
        <w:t>Upload the Word reply form containing your responses to ESMA’s website (</w:t>
      </w:r>
      <w:r w:rsidRPr="003A5F6E">
        <w:rPr>
          <w:b/>
          <w:bCs/>
        </w:rPr>
        <w:t>pdf documents will not be considered except for annexes</w:t>
      </w:r>
      <w:r w:rsidRPr="003A5F6E">
        <w:t xml:space="preserve">). All contributions should be submitted online at </w:t>
      </w:r>
      <w:hyperlink r:id="rId19" w:history="1">
        <w:r w:rsidRPr="003A5F6E">
          <w:rPr>
            <w:rStyle w:val="Hyperlink"/>
          </w:rPr>
          <w:t>www.esma.europa.eu</w:t>
        </w:r>
      </w:hyperlink>
      <w:r w:rsidRPr="003A5F6E">
        <w:t xml:space="preserve"> under the heading ‘Your input - Consultations’. </w:t>
      </w:r>
    </w:p>
    <w:p w14:paraId="5CAD07C6" w14:textId="66BCF42C" w:rsidR="009D6E99" w:rsidRPr="003A5F6E" w:rsidRDefault="009D6E99" w:rsidP="00F716D4">
      <w:pPr>
        <w:pStyle w:val="04BodyText"/>
      </w:pPr>
    </w:p>
    <w:p w14:paraId="0BB7D72B" w14:textId="77777777" w:rsidR="009D6E99" w:rsidRPr="003A5F6E" w:rsidRDefault="009D6E99" w:rsidP="00F716D4">
      <w:pPr>
        <w:pStyle w:val="04BodyText"/>
      </w:pPr>
    </w:p>
    <w:p w14:paraId="6D4B8935" w14:textId="7D7C9728" w:rsidR="009D6E99" w:rsidRPr="003A5F6E" w:rsidRDefault="009D6E99" w:rsidP="00F716D4">
      <w:pPr>
        <w:pStyle w:val="04BodyText"/>
      </w:pPr>
    </w:p>
    <w:p w14:paraId="25DC3693" w14:textId="77777777" w:rsidR="009D6E99" w:rsidRPr="003A5F6E" w:rsidRDefault="009D6E99" w:rsidP="009D6E99">
      <w:pPr>
        <w:pStyle w:val="aNew-Level33"/>
      </w:pPr>
      <w:r w:rsidRPr="003A5F6E">
        <w:lastRenderedPageBreak/>
        <w:t>Publication of responses</w:t>
      </w:r>
    </w:p>
    <w:p w14:paraId="0C265CA1" w14:textId="44DA5E64" w:rsidR="009D6E99" w:rsidRPr="003A5F6E" w:rsidRDefault="009D6E99" w:rsidP="009D6E99">
      <w:r w:rsidRPr="003A5F6E">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3E8D264" w14:textId="77777777" w:rsidR="009D6E99" w:rsidRPr="003A5F6E" w:rsidRDefault="009D6E99" w:rsidP="00F716D4">
      <w:pPr>
        <w:pStyle w:val="04BodyText"/>
      </w:pPr>
    </w:p>
    <w:p w14:paraId="380924F1" w14:textId="77777777" w:rsidR="009D6E99" w:rsidRPr="003A5F6E" w:rsidRDefault="009D6E99" w:rsidP="009D6E99">
      <w:pPr>
        <w:pStyle w:val="aNew-Level33"/>
      </w:pPr>
      <w:r w:rsidRPr="003A5F6E">
        <w:t>Data protection</w:t>
      </w:r>
    </w:p>
    <w:p w14:paraId="51DAF07D" w14:textId="082FFA89" w:rsidR="009D6E99" w:rsidRPr="003A5F6E" w:rsidRDefault="009D6E99" w:rsidP="009D6E99">
      <w:pPr>
        <w:rPr>
          <w:szCs w:val="22"/>
          <w:lang w:eastAsia="en-GB"/>
        </w:rPr>
      </w:pPr>
      <w:r w:rsidRPr="003A5F6E">
        <w:t xml:space="preserve">Information on data protection can be found at </w:t>
      </w:r>
      <w:hyperlink r:id="rId20" w:history="1">
        <w:r w:rsidRPr="003A5F6E">
          <w:rPr>
            <w:rStyle w:val="Hyperlink"/>
          </w:rPr>
          <w:t>www.esma.europa.eu</w:t>
        </w:r>
      </w:hyperlink>
      <w:r w:rsidRPr="003A5F6E">
        <w:t xml:space="preserve"> under the </w:t>
      </w:r>
      <w:r w:rsidRPr="003A5F6E">
        <w:rPr>
          <w:szCs w:val="22"/>
          <w:lang w:eastAsia="en-GB"/>
        </w:rPr>
        <w:t xml:space="preserve">headings ‘Legal notice’ and </w:t>
      </w:r>
      <w:r w:rsidRPr="003A5F6E">
        <w:t xml:space="preserve">heading </w:t>
      </w:r>
      <w:r w:rsidRPr="003A5F6E">
        <w:rPr>
          <w:rStyle w:val="Hyperlink"/>
        </w:rPr>
        <w:t>‘</w:t>
      </w:r>
      <w:hyperlink r:id="rId21" w:history="1">
        <w:r w:rsidRPr="003A5F6E">
          <w:rPr>
            <w:rStyle w:val="Hyperlink"/>
          </w:rPr>
          <w:t>Data protection</w:t>
        </w:r>
      </w:hyperlink>
      <w:r w:rsidRPr="003A5F6E">
        <w:rPr>
          <w:rStyle w:val="Hyperlink"/>
        </w:rPr>
        <w:t>’</w:t>
      </w:r>
      <w:r w:rsidRPr="003A5F6E">
        <w:t>.</w:t>
      </w:r>
      <w:r w:rsidRPr="003A5F6E">
        <w:rPr>
          <w:szCs w:val="22"/>
          <w:lang w:eastAsia="en-GB"/>
        </w:rPr>
        <w:t>.</w:t>
      </w:r>
    </w:p>
    <w:p w14:paraId="054BDCA3" w14:textId="4A5C1395" w:rsidR="009D6E99" w:rsidRPr="003A5F6E" w:rsidRDefault="009D6E99" w:rsidP="00F716D4">
      <w:pPr>
        <w:pStyle w:val="04BodyText"/>
      </w:pPr>
    </w:p>
    <w:p w14:paraId="51B4C686" w14:textId="77777777" w:rsidR="00A3026E" w:rsidRPr="003A5F6E" w:rsidRDefault="00A3026E" w:rsidP="00F716D4">
      <w:pPr>
        <w:rPr>
          <w:lang w:eastAsia="en-GB"/>
        </w:rPr>
      </w:pPr>
      <w:bookmarkStart w:id="5" w:name="_Toc335141334"/>
    </w:p>
    <w:p w14:paraId="6CA781B8" w14:textId="77777777" w:rsidR="00332304" w:rsidRPr="003A5F6E" w:rsidRDefault="00332304" w:rsidP="00F716D4">
      <w:pPr>
        <w:rPr>
          <w:lang w:eastAsia="en-GB"/>
        </w:rPr>
      </w:pPr>
      <w:bookmarkStart w:id="6" w:name="_Toc335141335"/>
      <w:bookmarkEnd w:id="5"/>
    </w:p>
    <w:bookmarkEnd w:id="6"/>
    <w:p w14:paraId="4B8094CC" w14:textId="1ED92C6E" w:rsidR="00F87468" w:rsidRPr="003A5F6E" w:rsidRDefault="00F87468" w:rsidP="00F716D4">
      <w:pPr>
        <w:rPr>
          <w:lang w:eastAsia="en-GB"/>
        </w:rPr>
      </w:pPr>
    </w:p>
    <w:p w14:paraId="0C8A3508" w14:textId="2D2128CF" w:rsidR="00F87468" w:rsidRPr="003A5F6E" w:rsidRDefault="00F87468" w:rsidP="00F716D4">
      <w:pPr>
        <w:rPr>
          <w:lang w:eastAsia="en-GB"/>
        </w:rPr>
      </w:pPr>
    </w:p>
    <w:p w14:paraId="6C2749D0" w14:textId="3A47AEBE" w:rsidR="00F87468" w:rsidRPr="003A5F6E" w:rsidRDefault="00F87468" w:rsidP="00F716D4">
      <w:pPr>
        <w:rPr>
          <w:lang w:eastAsia="en-GB"/>
        </w:rPr>
      </w:pPr>
    </w:p>
    <w:p w14:paraId="6B07845D" w14:textId="1A6DDFB8" w:rsidR="00F87468" w:rsidRPr="003A5F6E" w:rsidRDefault="00F87468" w:rsidP="00F716D4">
      <w:pPr>
        <w:rPr>
          <w:lang w:eastAsia="en-GB"/>
        </w:rPr>
      </w:pPr>
    </w:p>
    <w:p w14:paraId="042C5A1B" w14:textId="77777777" w:rsidR="00F87468" w:rsidRPr="003A5F6E" w:rsidRDefault="00F87468" w:rsidP="00F716D4"/>
    <w:p w14:paraId="19C1424C" w14:textId="77777777" w:rsidR="003755C6" w:rsidRPr="003A5F6E" w:rsidRDefault="003755C6" w:rsidP="00F716D4"/>
    <w:bookmarkEnd w:id="4"/>
    <w:p w14:paraId="3095C284" w14:textId="77777777" w:rsidR="00C54034" w:rsidRPr="003A5F6E" w:rsidRDefault="00C54034" w:rsidP="00F716D4">
      <w:pPr>
        <w:sectPr w:rsidR="00C54034" w:rsidRPr="003A5F6E"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3A5F6E" w:rsidRDefault="00F87897" w:rsidP="00BB1973">
      <w:pPr>
        <w:pStyle w:val="Heading1"/>
      </w:pPr>
      <w:bookmarkStart w:id="7" w:name="_Hlk124776172"/>
      <w:r w:rsidRPr="003A5F6E">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3A5F6E" w14:paraId="50D77A5E" w14:textId="77777777" w:rsidTr="00104E00">
        <w:tc>
          <w:tcPr>
            <w:tcW w:w="3929" w:type="dxa"/>
            <w:vAlign w:val="center"/>
          </w:tcPr>
          <w:p w14:paraId="58482845" w14:textId="77777777" w:rsidR="00C2682A" w:rsidRPr="003A5F6E" w:rsidRDefault="00C2682A" w:rsidP="00104E00">
            <w:pPr>
              <w:jc w:val="left"/>
              <w:rPr>
                <w:color w:val="00379F"/>
              </w:rPr>
            </w:pPr>
            <w:permStart w:id="1306485207" w:edGrp="everyone" w:colFirst="1" w:colLast="1"/>
            <w:r w:rsidRPr="003A5F6E">
              <w:rPr>
                <w:color w:val="00379F"/>
              </w:rPr>
              <w:t>Name of the company / organisation</w:t>
            </w:r>
          </w:p>
        </w:tc>
        <w:sdt>
          <w:sdtPr>
            <w:rPr>
              <w:rStyle w:val="PlaceholderText"/>
            </w:rPr>
            <w:id w:val="651570699"/>
            <w:text/>
          </w:sdtPr>
          <w:sdtEndPr>
            <w:rPr>
              <w:rStyle w:val="PlaceholderText"/>
            </w:rPr>
          </w:sdtEndPr>
          <w:sdtContent>
            <w:tc>
              <w:tcPr>
                <w:tcW w:w="5595" w:type="dxa"/>
                <w:vAlign w:val="center"/>
              </w:tcPr>
              <w:p w14:paraId="633DB1B6" w14:textId="72285FB8" w:rsidR="00C2682A" w:rsidRPr="003A5F6E" w:rsidRDefault="00606998" w:rsidP="00104E00">
                <w:pPr>
                  <w:jc w:val="left"/>
                  <w:rPr>
                    <w:rStyle w:val="PlaceholderText"/>
                  </w:rPr>
                </w:pPr>
                <w:r w:rsidRPr="003A5F6E">
                  <w:rPr>
                    <w:rStyle w:val="PlaceholderText"/>
                  </w:rPr>
                  <w:t>Energy Traders Europe</w:t>
                </w:r>
              </w:p>
            </w:tc>
          </w:sdtContent>
        </w:sdt>
      </w:tr>
      <w:tr w:rsidR="00C2682A" w:rsidRPr="003A5F6E" w14:paraId="4FCCD8AE" w14:textId="77777777" w:rsidTr="00104E00">
        <w:tc>
          <w:tcPr>
            <w:tcW w:w="3929" w:type="dxa"/>
            <w:vAlign w:val="center"/>
          </w:tcPr>
          <w:p w14:paraId="757E4D86" w14:textId="77777777" w:rsidR="00C2682A" w:rsidRPr="003A5F6E" w:rsidRDefault="00C2682A" w:rsidP="00104E00">
            <w:pPr>
              <w:jc w:val="left"/>
              <w:rPr>
                <w:color w:val="00379F"/>
              </w:rPr>
            </w:pPr>
            <w:permStart w:id="1273764253" w:edGrp="everyone" w:colFirst="1" w:colLast="1"/>
            <w:permEnd w:id="1306485207"/>
            <w:r w:rsidRPr="003A5F6E">
              <w:rPr>
                <w:color w:val="00379F"/>
              </w:rPr>
              <w:t>Activity</w:t>
            </w:r>
          </w:p>
        </w:tc>
        <w:tc>
          <w:tcPr>
            <w:tcW w:w="5595" w:type="dxa"/>
            <w:vAlign w:val="center"/>
          </w:tcPr>
          <w:p w14:paraId="097104AB" w14:textId="48E97727" w:rsidR="00C2682A" w:rsidRPr="003A5F6E" w:rsidRDefault="00712E82"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1F5A95" w:rsidRPr="003A5F6E">
                  <w:t>Non-financial counterparty</w:t>
                </w:r>
              </w:sdtContent>
            </w:sdt>
          </w:p>
        </w:tc>
      </w:tr>
      <w:tr w:rsidR="00C2682A" w:rsidRPr="003A5F6E" w14:paraId="002F17D3" w14:textId="77777777" w:rsidTr="00104E00">
        <w:tc>
          <w:tcPr>
            <w:tcW w:w="3929" w:type="dxa"/>
            <w:vAlign w:val="center"/>
          </w:tcPr>
          <w:p w14:paraId="00A16CC6" w14:textId="77777777" w:rsidR="00C2682A" w:rsidRPr="003A5F6E" w:rsidRDefault="00C2682A" w:rsidP="00104E00">
            <w:pPr>
              <w:jc w:val="left"/>
              <w:rPr>
                <w:color w:val="00379F"/>
              </w:rPr>
            </w:pPr>
            <w:permStart w:id="366504703" w:edGrp="everyone" w:colFirst="1" w:colLast="1"/>
            <w:permEnd w:id="1273764253"/>
            <w:r w:rsidRPr="003A5F6E">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vAlign w:val="center"/>
              </w:tcPr>
              <w:p w14:paraId="4BD68813" w14:textId="5BF56F2D" w:rsidR="00C2682A" w:rsidRPr="003A5F6E" w:rsidRDefault="001F5A95" w:rsidP="00104E00">
                <w:pPr>
                  <w:jc w:val="left"/>
                </w:pPr>
                <w:r w:rsidRPr="003A5F6E">
                  <w:rPr>
                    <w:rFonts w:ascii="MS Gothic" w:eastAsia="MS Gothic" w:hAnsi="MS Gothic" w:hint="eastAsia"/>
                  </w:rPr>
                  <w:t>☒</w:t>
                </w:r>
              </w:p>
            </w:tc>
          </w:sdtContent>
        </w:sdt>
      </w:tr>
      <w:tr w:rsidR="00C2682A" w:rsidRPr="003A5F6E" w14:paraId="7E0C510F" w14:textId="77777777" w:rsidTr="00104E00">
        <w:tc>
          <w:tcPr>
            <w:tcW w:w="3929" w:type="dxa"/>
            <w:vAlign w:val="center"/>
          </w:tcPr>
          <w:p w14:paraId="29B1AD34" w14:textId="77777777" w:rsidR="00C2682A" w:rsidRPr="003A5F6E" w:rsidRDefault="00C2682A" w:rsidP="00104E00">
            <w:pPr>
              <w:jc w:val="left"/>
              <w:rPr>
                <w:color w:val="00379F"/>
              </w:rPr>
            </w:pPr>
            <w:permStart w:id="1727412903" w:edGrp="everyone" w:colFirst="1" w:colLast="1"/>
            <w:permEnd w:id="366504703"/>
            <w:r w:rsidRPr="003A5F6E">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20CE343D" w:rsidR="00C2682A" w:rsidRPr="003A5F6E" w:rsidRDefault="001F5A95" w:rsidP="00104E00">
                <w:pPr>
                  <w:jc w:val="left"/>
                </w:pPr>
                <w:r w:rsidRPr="003A5F6E">
                  <w:t>Europe</w:t>
                </w:r>
              </w:p>
            </w:tc>
          </w:sdtContent>
        </w:sdt>
      </w:tr>
      <w:permEnd w:id="1727412903"/>
    </w:tbl>
    <w:p w14:paraId="398E9C9E" w14:textId="10C9CC3D" w:rsidR="00C2682A" w:rsidRPr="003A5F6E" w:rsidRDefault="00C2682A" w:rsidP="00F716D4"/>
    <w:p w14:paraId="7F986E69" w14:textId="77777777" w:rsidR="00FA4100" w:rsidRPr="003A5F6E" w:rsidRDefault="00BB1973" w:rsidP="00FA4100">
      <w:pPr>
        <w:pStyle w:val="Heading1"/>
      </w:pPr>
      <w:r w:rsidRPr="003A5F6E">
        <w:t>Questions</w:t>
      </w:r>
      <w:bookmarkStart w:id="8" w:name="_Hlk124780170"/>
    </w:p>
    <w:bookmarkEnd w:id="7"/>
    <w:bookmarkEnd w:id="8"/>
    <w:p w14:paraId="127B4719" w14:textId="12D2CBC6" w:rsidR="00693907" w:rsidRPr="003A5F6E" w:rsidRDefault="00693907" w:rsidP="00693907">
      <w:pPr>
        <w:pStyle w:val="Questionstyle"/>
      </w:pPr>
      <w:r w:rsidRPr="003A5F6E">
        <w:t>D</w:t>
      </w:r>
      <w:r w:rsidR="00047BE6" w:rsidRPr="003A5F6E">
        <w:t>o you agree with the proposed information to be provided by the CCP on its margin model design and operations? Do you have other proposals as to which information could be provided under point (a) of Article 38(7) of EMIR</w:t>
      </w:r>
      <w:r w:rsidRPr="003A5F6E">
        <w:t xml:space="preserve">?    </w:t>
      </w:r>
    </w:p>
    <w:p w14:paraId="1E634CEC" w14:textId="51B9A8D4" w:rsidR="00693907" w:rsidRPr="003A5F6E" w:rsidRDefault="00693907" w:rsidP="00693907">
      <w:r w:rsidRPr="003A5F6E">
        <w:t>&lt;ESMA_QUESTION_</w:t>
      </w:r>
      <w:r w:rsidR="005B277C" w:rsidRPr="003A5F6E">
        <w:t>MARG</w:t>
      </w:r>
      <w:r w:rsidRPr="003A5F6E">
        <w:t>_1&gt;</w:t>
      </w:r>
    </w:p>
    <w:p w14:paraId="1F4FE0DD" w14:textId="158F0716" w:rsidR="00AD1FB3" w:rsidRPr="00245609" w:rsidRDefault="00AD1FB3" w:rsidP="00AD1FB3">
      <w:permStart w:id="910108688" w:edGrp="everyone"/>
      <w:r w:rsidRPr="00245609">
        <w:t xml:space="preserve">Energy Traders Europe has, over the past 25 years, actively worked to promote best practices and develop industry standards. These efforts span both general commodity trading processes and specific areas such as margining and </w:t>
      </w:r>
      <w:proofErr w:type="gramStart"/>
      <w:r w:rsidRPr="00245609">
        <w:t>Over-The-Counter</w:t>
      </w:r>
      <w:proofErr w:type="gramEnd"/>
      <w:r w:rsidRPr="00245609">
        <w:t xml:space="preserve"> (OTC) collateral management. In parallel, we maintain regular dialogue with key stakeholders, including Central Counterparties (CCPs) and Clearing Service Providers (CSPs), with the aim of raising awareness to the operational conditions and needs of market participants, particularly non-financial counterparties. Given this experience and engagement, we </w:t>
      </w:r>
      <w:r w:rsidR="005B4F65">
        <w:t>particularly appreciate the opportunity</w:t>
      </w:r>
      <w:r w:rsidRPr="00245609">
        <w:t xml:space="preserve"> to contribute with our knowledge and provide a practical perspective on the transparency of margin models.</w:t>
      </w:r>
    </w:p>
    <w:p w14:paraId="6C801224" w14:textId="7B0C3F26" w:rsidR="00245609" w:rsidRPr="00245609" w:rsidRDefault="07C5A5C2" w:rsidP="0081019F">
      <w:r>
        <w:t>Against this background, we support ESMA’s proposals under Article 38(7)(a) of EMIR to enhance the transparency of initial margin models. The proposed requirements provide a solid foundation to ensure that CSPs receive meaningful, detailed, and timely information about how margin models are designed and operate, including under stressed market conditions.</w:t>
      </w:r>
    </w:p>
    <w:p w14:paraId="12B43152" w14:textId="3C3B6DF8" w:rsidR="0081019F" w:rsidRPr="0081019F" w:rsidRDefault="00245609" w:rsidP="0081019F">
      <w:r w:rsidRPr="00245609">
        <w:t>W</w:t>
      </w:r>
      <w:r w:rsidR="0081019F" w:rsidRPr="0081019F">
        <w:t xml:space="preserve">e recommend </w:t>
      </w:r>
      <w:r w:rsidR="009F5296" w:rsidRPr="00245609">
        <w:t>that</w:t>
      </w:r>
      <w:r w:rsidR="0081019F" w:rsidRPr="0081019F">
        <w:t xml:space="preserve"> CCPs disclose comprehensive qualitative and quantitative information on their margin models, including all add-ons and stress-testing frameworks. At a minimum, the level of disclosure should be sufficient to enable replication of the margin models, as recommended in the BCBS-CPMI-IOSCO report.</w:t>
      </w:r>
    </w:p>
    <w:p w14:paraId="107A78D8" w14:textId="3B161329" w:rsidR="0081019F" w:rsidRPr="0081019F" w:rsidRDefault="3F3470FB" w:rsidP="0081019F">
      <w:r>
        <w:t>CCPs should be required to include a dedicated section explaining their anti-procyclicality (APC) tools, including how these tools function in practice and how they are expected to behave during periods of market stress. For market participants, this is an essential part of understanding the responsiveness and stability of margin requirements in volatile markets.</w:t>
      </w:r>
    </w:p>
    <w:p w14:paraId="7D0ED1CF" w14:textId="3C0EC8E6" w:rsidR="00610766" w:rsidRPr="003B7E82" w:rsidRDefault="3F3470FB" w:rsidP="00610766">
      <w:pPr>
        <w:rPr>
          <w:color w:val="000000" w:themeColor="text1"/>
        </w:rPr>
      </w:pPr>
      <w:r w:rsidRPr="3F3470FB">
        <w:rPr>
          <w:color w:val="000000" w:themeColor="text1"/>
        </w:rPr>
        <w:lastRenderedPageBreak/>
        <w:t xml:space="preserve">That said, we would like to emphasise a key consideration. While Article 38(7) of EMIR clearly mandates that CCPs provide this information to their clearing members, we believe the effectiveness of these transparency measures can only be fully achieved if similar transparency is ensured further down the clearing chain, namely from CSPs to their clients. Many CCPs already publish information about their margin models, including technical documentation, explanatory materials, and educational tools, on their public websites. </w:t>
      </w:r>
      <w:r w:rsidR="007309A0" w:rsidRPr="007309A0">
        <w:rPr>
          <w:color w:val="000000" w:themeColor="text1"/>
        </w:rPr>
        <w:t xml:space="preserve">While this represents a positive step towards transparency, the level of detail currently varies between CCPs and may not always provide </w:t>
      </w:r>
      <w:r w:rsidR="00B92707">
        <w:rPr>
          <w:color w:val="000000" w:themeColor="text1"/>
        </w:rPr>
        <w:t xml:space="preserve">a </w:t>
      </w:r>
      <w:r w:rsidR="007309A0" w:rsidRPr="007309A0">
        <w:rPr>
          <w:color w:val="000000" w:themeColor="text1"/>
        </w:rPr>
        <w:t xml:space="preserve">sufficient </w:t>
      </w:r>
      <w:r w:rsidR="00B92707">
        <w:rPr>
          <w:color w:val="000000" w:themeColor="text1"/>
        </w:rPr>
        <w:t xml:space="preserve">level of </w:t>
      </w:r>
      <w:r w:rsidR="007309A0" w:rsidRPr="007309A0">
        <w:rPr>
          <w:color w:val="000000" w:themeColor="text1"/>
        </w:rPr>
        <w:t>granularity for all stakeholders. A standardized framework requiring all CCPs to publish consistent minimum information</w:t>
      </w:r>
      <w:r w:rsidR="007309A0">
        <w:rPr>
          <w:color w:val="000000" w:themeColor="text1"/>
        </w:rPr>
        <w:t xml:space="preserve">, </w:t>
      </w:r>
      <w:r w:rsidR="007309A0" w:rsidRPr="007309A0">
        <w:rPr>
          <w:color w:val="000000" w:themeColor="text1"/>
        </w:rPr>
        <w:t>covering methodology, assumptions, model validation, and selected stress-testing examples</w:t>
      </w:r>
      <w:r w:rsidR="007309A0">
        <w:rPr>
          <w:color w:val="000000" w:themeColor="text1"/>
        </w:rPr>
        <w:t xml:space="preserve">, </w:t>
      </w:r>
      <w:r w:rsidR="007309A0" w:rsidRPr="007309A0">
        <w:rPr>
          <w:color w:val="000000" w:themeColor="text1"/>
        </w:rPr>
        <w:t>would improve comparability and allow market participants to better assess model robustness, without compromising proprietary information.</w:t>
      </w:r>
      <w:r w:rsidR="007309A0">
        <w:rPr>
          <w:color w:val="000000" w:themeColor="text1"/>
        </w:rPr>
        <w:t xml:space="preserve"> </w:t>
      </w:r>
      <w:r w:rsidRPr="003B7E82">
        <w:rPr>
          <w:color w:val="000000" w:themeColor="text1"/>
        </w:rPr>
        <w:t>The importance of publicly available information, particularly for end-clients, as further elaborated in our response to Question 5, aligns with ESMA’s proposed Option 1 in the Cost-Benefit Analysis (Section 6.3.1), which envisages CCPs publicly disclosing information related to their margin model, including operational arrangements.</w:t>
      </w:r>
    </w:p>
    <w:p w14:paraId="3C93FCF8" w14:textId="3D63E77F" w:rsidR="00610766" w:rsidRPr="003B7E82" w:rsidRDefault="3F3470FB" w:rsidP="00610766">
      <w:pPr>
        <w:rPr>
          <w:color w:val="000000" w:themeColor="text1"/>
        </w:rPr>
      </w:pPr>
      <w:r w:rsidRPr="003B7E82">
        <w:rPr>
          <w:color w:val="000000" w:themeColor="text1"/>
        </w:rPr>
        <w:t>While we acknowledge that ESMA appears to favour Option 2 – under which CCPs provide the information to their clearing members, who then pass it down the chain to CSPs and clients – the current formulation risks delays and inefficiencies when information must pass through multiple intermediaries. If public disclosure under Option 1 raises confidentiality or competitive concerns for CCPs, an effective alternative would be for CCPs to provide the margin model information directly to clients under legally enforceable non-disclosure obligations, via a permissioned portal. This approach would preserve the confidentiality safeguards of Option 2 while ensuring timely, accurate, and direct access to the information from the source, and would remove the unnecessary burden on clearing members to relay such information.</w:t>
      </w:r>
    </w:p>
    <w:p w14:paraId="5E433AD9" w14:textId="1FF48223" w:rsidR="00245609" w:rsidRPr="00245609" w:rsidRDefault="3F3470FB" w:rsidP="00245609">
      <w:r>
        <w:t xml:space="preserve">Ensuring end-to-end transparency by acknowledging that CSPs </w:t>
      </w:r>
      <w:r w:rsidR="00680249">
        <w:t>are from</w:t>
      </w:r>
      <w:r>
        <w:t xml:space="preserve"> a contractual perspective intermediaries for the clearing itself, would better align with the spirit of EMIR and with international best practices, particularly those set out in recent IOSCO recommendations. It would also contribute to a more robust, transparent, and well-informed centrally cleared market ecosystem.</w:t>
      </w:r>
    </w:p>
    <w:permEnd w:id="910108688"/>
    <w:p w14:paraId="0B2E60F7" w14:textId="5FC5EA0D" w:rsidR="00693907" w:rsidRPr="003A5F6E" w:rsidRDefault="00693907" w:rsidP="00693907">
      <w:r w:rsidRPr="003A5F6E">
        <w:t>&lt;ESMA_QUESTION_</w:t>
      </w:r>
      <w:r w:rsidR="005B277C" w:rsidRPr="003A5F6E">
        <w:t>MARG</w:t>
      </w:r>
      <w:r w:rsidRPr="003A5F6E">
        <w:t>_1&gt;</w:t>
      </w:r>
    </w:p>
    <w:p w14:paraId="0D4A902B" w14:textId="0FD03075" w:rsidR="00693907" w:rsidRPr="003A5F6E" w:rsidRDefault="00693907" w:rsidP="00693907">
      <w:pPr>
        <w:pStyle w:val="Questionstyle"/>
      </w:pPr>
      <w:r w:rsidRPr="003A5F6E">
        <w:t xml:space="preserve">Do </w:t>
      </w:r>
      <w:r w:rsidR="00DF5689" w:rsidRPr="003A5F6E">
        <w:t xml:space="preserve">you agree with the proposed information to be provided by the CCP on the margin model assumptions and limitations? Do you have other proposals as to which information could be provided under </w:t>
      </w:r>
      <w:r w:rsidR="009908F6" w:rsidRPr="003A5F6E">
        <w:t xml:space="preserve">point </w:t>
      </w:r>
      <w:r w:rsidR="00DF5689" w:rsidRPr="003A5F6E">
        <w:t>(b) of Article 38(7) of EMIR</w:t>
      </w:r>
      <w:r w:rsidRPr="003A5F6E">
        <w:t xml:space="preserve">?    </w:t>
      </w:r>
    </w:p>
    <w:p w14:paraId="00896A16" w14:textId="4F58C017" w:rsidR="00693907" w:rsidRPr="003A5F6E" w:rsidRDefault="00693907" w:rsidP="00693907">
      <w:r w:rsidRPr="003A5F6E">
        <w:t>&lt;ESMA_QUESTION_</w:t>
      </w:r>
      <w:r w:rsidR="005B277C" w:rsidRPr="003A5F6E">
        <w:t>MARG</w:t>
      </w:r>
      <w:r w:rsidRPr="003A5F6E">
        <w:t>_2&gt;</w:t>
      </w:r>
    </w:p>
    <w:p w14:paraId="6FB9054A" w14:textId="6F11223C" w:rsidR="006904CF" w:rsidRPr="006904CF" w:rsidRDefault="006904CF" w:rsidP="006904CF">
      <w:permStart w:id="834943991" w:edGrp="everyone"/>
      <w:r w:rsidRPr="009F112B">
        <w:t>T</w:t>
      </w:r>
      <w:r w:rsidRPr="006904CF">
        <w:t>hrough ongoing engagement with Central Counterparties (CCPs), Clearing Service Providers (CSPs), and other stakeholders, we have built deep insight into the operational realities and risk management needs of market participants. This experience places us in a strong position to offer informed feedback on the effectiveness of the proposed transparency measures under Article 38(7)(b) of EMIR.</w:t>
      </w:r>
    </w:p>
    <w:p w14:paraId="280CC83E" w14:textId="2FD02AB9" w:rsidR="006904CF" w:rsidRPr="006904CF" w:rsidRDefault="27F3B915" w:rsidP="006904CF">
      <w:r>
        <w:lastRenderedPageBreak/>
        <w:t>Overall, we support ESMA’s proposals to require CCPs to disclose the key assumptions and limitations of their margin models, as well as the circumstances under which these assumptions may break down. These elements are essential for CSPs – and not least their clients/market participants – to fully understand the potential behaviour and limitations of the margin framework, especially in times of stress.</w:t>
      </w:r>
    </w:p>
    <w:p w14:paraId="513CAB90" w14:textId="25627DBC" w:rsidR="006904CF" w:rsidRPr="003B7E82" w:rsidRDefault="3F3470FB" w:rsidP="43D0CEE3">
      <w:r w:rsidRPr="3F3470FB">
        <w:rPr>
          <w:lang w:val="en-US"/>
        </w:rPr>
        <w:t>We recommend that the scope and granularity of the disclosures should be detailed to ensure that CSPs, and ultimately their clients, can meaningfully assess the margin model’s reliability and stability.</w:t>
      </w:r>
      <w:r w:rsidR="00BC0A09">
        <w:rPr>
          <w:lang w:val="en-US"/>
        </w:rPr>
        <w:t xml:space="preserve"> </w:t>
      </w:r>
      <w:r w:rsidR="004F5D2A" w:rsidRPr="004F5D2A">
        <w:t xml:space="preserve">From a strategic perspective, EU CCPs should aim to be best-in-class in the information they provide. Comprehensive and transparent disclosures are not only a regulatory expectation but also a competitive advantage: CCPs that fall short compared with non-EU peers may risk losing market participants. Achieving equal or superior transparency would reinforce confidence and support the EU’s competitiveness in the clearing </w:t>
      </w:r>
      <w:r w:rsidR="003B7E82" w:rsidRPr="004F5D2A">
        <w:t>market.</w:t>
      </w:r>
      <w:r w:rsidR="003B7E82" w:rsidRPr="3F3470FB">
        <w:rPr>
          <w:lang w:val="en-US"/>
        </w:rPr>
        <w:t xml:space="preserve"> </w:t>
      </w:r>
      <w:proofErr w:type="gramStart"/>
      <w:r w:rsidR="003B7E82" w:rsidRPr="3F3470FB">
        <w:rPr>
          <w:lang w:val="en-US"/>
        </w:rPr>
        <w:t>In</w:t>
      </w:r>
      <w:r w:rsidRPr="3F3470FB">
        <w:rPr>
          <w:lang w:val="en-US"/>
        </w:rPr>
        <w:t xml:space="preserve"> particular, we</w:t>
      </w:r>
      <w:proofErr w:type="gramEnd"/>
      <w:r w:rsidRPr="3F3470FB">
        <w:rPr>
          <w:lang w:val="en-US"/>
        </w:rPr>
        <w:t xml:space="preserve"> </w:t>
      </w:r>
      <w:proofErr w:type="spellStart"/>
      <w:r w:rsidRPr="3F3470FB">
        <w:rPr>
          <w:lang w:val="en-US"/>
        </w:rPr>
        <w:t>emphasise</w:t>
      </w:r>
      <w:proofErr w:type="spellEnd"/>
      <w:r w:rsidRPr="3F3470FB">
        <w:rPr>
          <w:lang w:val="en-US"/>
        </w:rPr>
        <w:t xml:space="preserve"> that a detailed description should be provided of how extraordinary margin calls are handled in case of model </w:t>
      </w:r>
      <w:r w:rsidR="00BD29FC" w:rsidRPr="3F3470FB">
        <w:rPr>
          <w:lang w:val="en-US"/>
        </w:rPr>
        <w:t>overrides,</w:t>
      </w:r>
      <w:r w:rsidRPr="3F3470FB">
        <w:rPr>
          <w:lang w:val="en-US"/>
        </w:rPr>
        <w:t xml:space="preserve"> including:</w:t>
      </w:r>
    </w:p>
    <w:p w14:paraId="1F8E8450" w14:textId="77777777" w:rsidR="006904CF" w:rsidRPr="006904CF" w:rsidRDefault="006904CF" w:rsidP="003B7E82">
      <w:pPr>
        <w:numPr>
          <w:ilvl w:val="0"/>
          <w:numId w:val="37"/>
        </w:numPr>
      </w:pPr>
      <w:r w:rsidRPr="006904CF">
        <w:t>Circumstances that may trigger manual overrides</w:t>
      </w:r>
    </w:p>
    <w:p w14:paraId="3976B21A" w14:textId="77777777" w:rsidR="006904CF" w:rsidRPr="006904CF" w:rsidRDefault="006904CF" w:rsidP="003B7E82">
      <w:pPr>
        <w:numPr>
          <w:ilvl w:val="0"/>
          <w:numId w:val="37"/>
        </w:numPr>
      </w:pPr>
      <w:r w:rsidRPr="006904CF">
        <w:t>Governance and procedures around such overrides</w:t>
      </w:r>
    </w:p>
    <w:p w14:paraId="199B5C66" w14:textId="4AD4ECEB" w:rsidR="006904CF" w:rsidRPr="006904CF" w:rsidRDefault="27F3B915" w:rsidP="003B7E82">
      <w:pPr>
        <w:numPr>
          <w:ilvl w:val="0"/>
          <w:numId w:val="37"/>
        </w:numPr>
      </w:pPr>
      <w:r>
        <w:t>Calculation logic, qualitative and/or quantitative triggers as well frequency of extraordinary margin calls</w:t>
      </w:r>
    </w:p>
    <w:p w14:paraId="56C5FFFD" w14:textId="6439185E" w:rsidR="006904CF" w:rsidRPr="006904CF" w:rsidRDefault="009F112B" w:rsidP="00FE37E6">
      <w:r>
        <w:t>Additionally, w</w:t>
      </w:r>
      <w:r w:rsidR="006904CF" w:rsidRPr="006904CF">
        <w:t>e recommend including:</w:t>
      </w:r>
    </w:p>
    <w:p w14:paraId="04FA7105" w14:textId="77777777" w:rsidR="006904CF" w:rsidRPr="006904CF" w:rsidRDefault="006904CF" w:rsidP="003B7E82">
      <w:pPr>
        <w:numPr>
          <w:ilvl w:val="0"/>
          <w:numId w:val="38"/>
        </w:numPr>
      </w:pPr>
      <w:r w:rsidRPr="006904CF">
        <w:t>Summaries of stress testing outcomes linked to the key assumptions</w:t>
      </w:r>
    </w:p>
    <w:p w14:paraId="16CE73B5" w14:textId="77777777" w:rsidR="006904CF" w:rsidRPr="006904CF" w:rsidRDefault="006904CF" w:rsidP="003B7E82">
      <w:pPr>
        <w:numPr>
          <w:ilvl w:val="0"/>
          <w:numId w:val="38"/>
        </w:numPr>
      </w:pPr>
      <w:r w:rsidRPr="006904CF">
        <w:t>Explanation of any anti-procyclicality adjustments triggered by model limitations</w:t>
      </w:r>
    </w:p>
    <w:p w14:paraId="0939A4A6" w14:textId="77777777" w:rsidR="006904CF" w:rsidRPr="006904CF" w:rsidRDefault="006904CF" w:rsidP="003B7E82">
      <w:pPr>
        <w:numPr>
          <w:ilvl w:val="0"/>
          <w:numId w:val="38"/>
        </w:numPr>
      </w:pPr>
      <w:r w:rsidRPr="006904CF">
        <w:t>Regular reporting on the recalibration frequency and triggers for model assumptions</w:t>
      </w:r>
    </w:p>
    <w:p w14:paraId="64A5865D" w14:textId="14A7CB2E" w:rsidR="009F112B" w:rsidRPr="009F112B" w:rsidRDefault="3F3470FB" w:rsidP="009F112B">
      <w:r w:rsidRPr="3F3470FB">
        <w:rPr>
          <w:lang w:val="en-US"/>
        </w:rPr>
        <w:t xml:space="preserve">We would like to </w:t>
      </w:r>
      <w:r w:rsidR="003B7E82" w:rsidRPr="3F3470FB">
        <w:rPr>
          <w:lang w:val="en-US"/>
        </w:rPr>
        <w:t>point out</w:t>
      </w:r>
      <w:r w:rsidRPr="3F3470FB">
        <w:rPr>
          <w:lang w:val="en-US"/>
        </w:rPr>
        <w:t xml:space="preserve"> that, as mentioned in our response to Q1</w:t>
      </w:r>
      <w:r>
        <w:t>, we believe the effectiveness of these transparency measures can only be fully realised if similar transparency is also ensured further down the clearing chain, namely, from CSPs to their clients. This point is further elaborated in our response to Question</w:t>
      </w:r>
      <w:r w:rsidR="003B7E82">
        <w:t xml:space="preserve"> 5</w:t>
      </w:r>
      <w:r>
        <w:t xml:space="preserve"> and supported by Recital 52 of EMIR 3.0. Many CCPs publicly share margin model information online, including margin model assumptions and limitations. However, it’s essential that CSPs communicate and explain data related to specific client positions to their clients.</w:t>
      </w:r>
    </w:p>
    <w:p w14:paraId="583E4666" w14:textId="3CA20EA4" w:rsidR="006904CF" w:rsidRPr="009F112B" w:rsidRDefault="07C5A5C2" w:rsidP="009F112B">
      <w:r>
        <w:t>Ensuring end-to-end transparency would better align with the spirit of EMIR and with international best practices, particularly those set out in recent IOSCO recommendations, especially also because the client is in the end the risk owner. It would also contribute to a more robust, transparent, and well-informed centrally cleared market ecosystem</w:t>
      </w:r>
      <w:r w:rsidR="003B7E82">
        <w:t>.</w:t>
      </w:r>
    </w:p>
    <w:permEnd w:id="834943991"/>
    <w:p w14:paraId="07210AC9" w14:textId="4BE117F8" w:rsidR="00693907" w:rsidRPr="003A5F6E" w:rsidRDefault="43D0CEE3" w:rsidP="00693907">
      <w:r>
        <w:t>&lt;ESMA_QUESTION_MARG_2&gt;</w:t>
      </w:r>
    </w:p>
    <w:p w14:paraId="19A7880E" w14:textId="5CB37202" w:rsidR="00693907" w:rsidRPr="003A5F6E" w:rsidRDefault="00693907" w:rsidP="00693907">
      <w:pPr>
        <w:pStyle w:val="Questionstyle"/>
      </w:pPr>
      <w:r w:rsidRPr="003A5F6E">
        <w:lastRenderedPageBreak/>
        <w:t xml:space="preserve">Do </w:t>
      </w:r>
      <w:r w:rsidR="0052521D" w:rsidRPr="003A5F6E">
        <w:t xml:space="preserve">you agree with the proposal </w:t>
      </w:r>
      <w:proofErr w:type="gramStart"/>
      <w:r w:rsidR="0052521D" w:rsidRPr="003A5F6E">
        <w:t>with regard to</w:t>
      </w:r>
      <w:proofErr w:type="gramEnd"/>
      <w:r w:rsidR="0052521D" w:rsidRPr="003A5F6E">
        <w:t xml:space="preserve"> the model documentation? Do you have other proposals as to which documents could be provided under point (c) of Article 38(7) of EMIR</w:t>
      </w:r>
      <w:r w:rsidRPr="003A5F6E">
        <w:t xml:space="preserve">?    </w:t>
      </w:r>
    </w:p>
    <w:p w14:paraId="4B1B3C0E" w14:textId="487D5D5E" w:rsidR="00693907" w:rsidRPr="003A5F6E" w:rsidRDefault="00693907" w:rsidP="00693907">
      <w:r w:rsidRPr="003A5F6E">
        <w:t>&lt;ESMA_QUESTION_</w:t>
      </w:r>
      <w:r w:rsidR="005B277C" w:rsidRPr="003A5F6E">
        <w:t>MARG</w:t>
      </w:r>
      <w:r w:rsidRPr="003A5F6E">
        <w:t>_3&gt;</w:t>
      </w:r>
    </w:p>
    <w:p w14:paraId="09957908" w14:textId="2A3DDFB9" w:rsidR="00951BC5" w:rsidRDefault="00951BC5">
      <w:permStart w:id="1178823114" w:edGrp="everyone"/>
      <w:r w:rsidRPr="007845F3">
        <w:t xml:space="preserve">We agree with the proposal that CCPs should be required to make available comprehensive and clear documentation regarding their margin models, as set out in Article 38(7)(c) of EMIR. </w:t>
      </w:r>
      <w:r w:rsidR="00D47FB9" w:rsidRPr="007845F3">
        <w:t>It is</w:t>
      </w:r>
      <w:r w:rsidR="00D47FB9">
        <w:t>, indeed,</w:t>
      </w:r>
      <w:r w:rsidR="00D47FB9" w:rsidRPr="007845F3">
        <w:t xml:space="preserve"> essential that this documentation enables </w:t>
      </w:r>
      <w:r w:rsidR="07C5A5C2" w:rsidRPr="00AC6F03">
        <w:rPr>
          <w:u w:val="single"/>
        </w:rPr>
        <w:t>CSPs</w:t>
      </w:r>
      <w:r w:rsidR="00D47FB9" w:rsidRPr="007845F3">
        <w:t xml:space="preserve"> and their clients to gain a thorough understanding of how the margin model functions, including its key assumptions, inputs, methodologies, and limitations.</w:t>
      </w:r>
    </w:p>
    <w:p w14:paraId="70D2C0BB" w14:textId="00EB0B39" w:rsidR="00FF589B" w:rsidRPr="00FF589B" w:rsidRDefault="07C5A5C2" w:rsidP="00FF589B">
      <w:r>
        <w:t>However, as an association representing primarily clients of clearing members – with only a small number of our members acting as CMs themselves – we strongly call for initiatives that improve also clients’ understanding. Greater transparency at client-level is essential for enabling clients to manage risk effectively, plan liquidity, and anticipate and respond to changes in margin requirements in a timely and informed manner.</w:t>
      </w:r>
    </w:p>
    <w:p w14:paraId="73404CBF" w14:textId="042A5A90" w:rsidR="007845F3" w:rsidRPr="003A5F6E" w:rsidRDefault="3F3470FB" w:rsidP="00693907">
      <w:r>
        <w:t xml:space="preserve">Therefore, we propose that ESMA further clarifies the requirements around the transparency of CCP-provided information. Specifically, we encourage CCPs to make as much of this information </w:t>
      </w:r>
      <w:r w:rsidRPr="003B7E82">
        <w:t>publicly available as possible</w:t>
      </w:r>
      <w:r>
        <w:t xml:space="preserve"> via their websites, ensuring a consistent baseline of transparency and equal access across the market. CSPs should be legally enabled to pass on to clients any non-public information they receive from CCPs which directly relate to their clients’ respective positions and exposures, under legally enforceable confidentiality agreements</w:t>
      </w:r>
      <w:r w:rsidR="000F6833">
        <w:t>.</w:t>
      </w:r>
    </w:p>
    <w:permEnd w:id="1178823114"/>
    <w:p w14:paraId="6B4516C3" w14:textId="4EC48AC0" w:rsidR="00693907" w:rsidRPr="003A5F6E" w:rsidRDefault="00693907" w:rsidP="00693907">
      <w:r w:rsidRPr="003A5F6E">
        <w:t>&lt;ESMA_QUESTION_</w:t>
      </w:r>
      <w:r w:rsidR="005B277C" w:rsidRPr="003A5F6E">
        <w:t>MARG</w:t>
      </w:r>
      <w:r w:rsidRPr="003A5F6E">
        <w:t>_3&gt;</w:t>
      </w:r>
    </w:p>
    <w:p w14:paraId="5487291B" w14:textId="151329EE" w:rsidR="00693907" w:rsidRPr="003A5F6E" w:rsidRDefault="00693907" w:rsidP="00693907">
      <w:pPr>
        <w:pStyle w:val="Questionstyle"/>
      </w:pPr>
      <w:r w:rsidRPr="003A5F6E">
        <w:t xml:space="preserve">Do </w:t>
      </w:r>
      <w:r w:rsidR="005D6222" w:rsidRPr="003A5F6E">
        <w:t xml:space="preserve">you agree with the proposed requirements and the type of output for the simulation tool to be provided by CCPs? Are there any other requirements for the CCP margin simulation tool which should be </w:t>
      </w:r>
      <w:proofErr w:type="gramStart"/>
      <w:r w:rsidR="005D6222" w:rsidRPr="003A5F6E">
        <w:t>taken into account</w:t>
      </w:r>
      <w:proofErr w:type="gramEnd"/>
      <w:r w:rsidR="005D6222" w:rsidRPr="003A5F6E">
        <w:t>, such as legal mechanisms to ensure confidentiality</w:t>
      </w:r>
      <w:r w:rsidRPr="003A5F6E">
        <w:t xml:space="preserve">?    </w:t>
      </w:r>
    </w:p>
    <w:p w14:paraId="6040CACC" w14:textId="2573CA89" w:rsidR="00693907" w:rsidRPr="003A5F6E" w:rsidRDefault="00693907" w:rsidP="00693907">
      <w:r w:rsidRPr="003A5F6E">
        <w:t>&lt;ESMA_QUESTION_</w:t>
      </w:r>
      <w:r w:rsidR="005B277C" w:rsidRPr="003A5F6E">
        <w:t>MARG</w:t>
      </w:r>
      <w:r w:rsidRPr="003A5F6E">
        <w:t>_4&gt;</w:t>
      </w:r>
    </w:p>
    <w:p w14:paraId="24E2AEEC" w14:textId="2F042915" w:rsidR="00D20E77" w:rsidRDefault="00B10A25" w:rsidP="00D20E77">
      <w:pPr>
        <w:spacing w:before="1"/>
        <w:ind w:right="111"/>
      </w:pPr>
      <w:permStart w:id="2012300575" w:edGrp="everyone"/>
      <w:r w:rsidRPr="00B10A25">
        <w:t>We broadly agree with ESMA’s proposed requirements and the structure of the margin simulation tool. We believe it represents an important step toward greater transparency and improved risk management for clearing members and clients.</w:t>
      </w:r>
      <w:r w:rsidR="00D20E77">
        <w:t xml:space="preserve"> </w:t>
      </w:r>
      <w:r w:rsidR="00D20E77" w:rsidRPr="00B10A25">
        <w:t>We support ESMA’s proposal to clearly separate outputs into:</w:t>
      </w:r>
    </w:p>
    <w:p w14:paraId="275D66C2" w14:textId="77777777" w:rsidR="00D20E77" w:rsidRDefault="00D20E77" w:rsidP="003B7E82">
      <w:pPr>
        <w:pStyle w:val="ListParagraph"/>
        <w:numPr>
          <w:ilvl w:val="0"/>
          <w:numId w:val="39"/>
        </w:numPr>
        <w:spacing w:before="1"/>
        <w:ind w:right="111"/>
      </w:pPr>
      <w:r w:rsidRPr="00B10A25">
        <w:t xml:space="preserve">Initial margin for existing </w:t>
      </w:r>
      <w:proofErr w:type="gramStart"/>
      <w:r w:rsidRPr="00B10A25">
        <w:t>positions;</w:t>
      </w:r>
      <w:proofErr w:type="gramEnd"/>
    </w:p>
    <w:p w14:paraId="453BDDD8" w14:textId="77777777" w:rsidR="00D20E77" w:rsidRDefault="00D20E77" w:rsidP="003B7E82">
      <w:pPr>
        <w:pStyle w:val="ListParagraph"/>
        <w:numPr>
          <w:ilvl w:val="0"/>
          <w:numId w:val="39"/>
        </w:numPr>
        <w:spacing w:before="1"/>
        <w:ind w:right="111"/>
      </w:pPr>
      <w:r w:rsidRPr="00B10A25">
        <w:t xml:space="preserve">Additional initial margin for new </w:t>
      </w:r>
      <w:proofErr w:type="gramStart"/>
      <w:r w:rsidRPr="00B10A25">
        <w:t>transactions;</w:t>
      </w:r>
      <w:proofErr w:type="gramEnd"/>
    </w:p>
    <w:p w14:paraId="24BA783E" w14:textId="77777777" w:rsidR="00D20E77" w:rsidRDefault="00D20E77" w:rsidP="003B7E82">
      <w:pPr>
        <w:pStyle w:val="ListParagraph"/>
        <w:numPr>
          <w:ilvl w:val="0"/>
          <w:numId w:val="39"/>
        </w:numPr>
        <w:spacing w:before="1"/>
        <w:ind w:right="111"/>
      </w:pPr>
      <w:r w:rsidRPr="00B10A25">
        <w:t>Core margin vs. systematic margin add-ons, with identification of the underlying risks.</w:t>
      </w:r>
    </w:p>
    <w:p w14:paraId="4830BD60" w14:textId="34604898" w:rsidR="003965C7" w:rsidRDefault="27F3B915" w:rsidP="008E652B">
      <w:pPr>
        <w:spacing w:before="1"/>
        <w:ind w:right="111"/>
      </w:pPr>
      <w:r>
        <w:lastRenderedPageBreak/>
        <w:t xml:space="preserve">That said, we believe that several enhancements would improve the tool’s usefulness, accessibility, and consistency across the clearing ecosystem. </w:t>
      </w:r>
      <w:proofErr w:type="gramStart"/>
      <w:r>
        <w:t>In particular we</w:t>
      </w:r>
      <w:proofErr w:type="gramEnd"/>
      <w:r>
        <w:t xml:space="preserve"> support ESMA’s inclusion of both historical and hypothetical scenarios and propose the following refinements: </w:t>
      </w:r>
    </w:p>
    <w:p w14:paraId="737845BF" w14:textId="77777777" w:rsidR="003965C7" w:rsidRPr="00E469BD" w:rsidRDefault="00B10A25" w:rsidP="003B7E82">
      <w:pPr>
        <w:pStyle w:val="ListParagraph"/>
        <w:numPr>
          <w:ilvl w:val="0"/>
          <w:numId w:val="42"/>
        </w:numPr>
        <w:spacing w:before="1"/>
        <w:ind w:right="111"/>
      </w:pPr>
      <w:r w:rsidRPr="00E469BD">
        <w:t>Absolute Price Shocks: In addition to relative price movements, scenarios should include absolute price shocks, particularly those based on historical stress periods. These allow for more intuitive risk assessments and should be explicitly available as a subset of the scenarios provided.</w:t>
      </w:r>
    </w:p>
    <w:p w14:paraId="5BDF9609" w14:textId="17833062" w:rsidR="00C32295" w:rsidRPr="00E469BD" w:rsidRDefault="27F3B915" w:rsidP="003B7E82">
      <w:pPr>
        <w:pStyle w:val="ListParagraph"/>
        <w:numPr>
          <w:ilvl w:val="0"/>
          <w:numId w:val="42"/>
        </w:numPr>
        <w:spacing w:before="1"/>
        <w:ind w:right="111"/>
      </w:pPr>
      <w:r w:rsidRPr="00E469BD">
        <w:t>Forward Simulation: The simulation tool should also support future scenario dates, enabling analysis of time-to-maturity and seasonality effects critical for funding and collateral planning.</w:t>
      </w:r>
    </w:p>
    <w:p w14:paraId="6010CCB3" w14:textId="3DBE1F86" w:rsidR="008E652B" w:rsidRDefault="3F3470FB" w:rsidP="003B7E82">
      <w:pPr>
        <w:pStyle w:val="ListParagraph"/>
        <w:numPr>
          <w:ilvl w:val="0"/>
          <w:numId w:val="42"/>
        </w:numPr>
        <w:spacing w:before="1"/>
        <w:ind w:right="111"/>
      </w:pPr>
      <w:r w:rsidRPr="00E469BD">
        <w:t>Reference Events: We recommend that ESMA aligns with global best practices (e.g., the Global Rules) by ensuring</w:t>
      </w:r>
      <w:r>
        <w:t xml:space="preserve"> scenarios reflect key market stress events such as the 2008 Global Financial Crisis, the COVID-19 turmoil of March 2020, and the Russia-Ukraine conflict in early 2022</w:t>
      </w:r>
      <w:r w:rsidR="00A12CF8">
        <w:rPr>
          <w:rStyle w:val="FootnoteReference"/>
        </w:rPr>
        <w:footnoteReference w:id="2"/>
      </w:r>
      <w:r>
        <w:t>.</w:t>
      </w:r>
    </w:p>
    <w:p w14:paraId="1FF96E7E" w14:textId="4FD7D1CB" w:rsidR="002D3B05" w:rsidRDefault="002D3B05" w:rsidP="4B8DD299">
      <w:pPr>
        <w:spacing w:before="1"/>
        <w:ind w:right="111"/>
        <w:rPr>
          <w:color w:val="000000" w:themeColor="text1"/>
          <w:lang w:val="en-US"/>
        </w:rPr>
      </w:pPr>
      <w:r w:rsidRPr="002D3B05">
        <w:rPr>
          <w:color w:val="000000" w:themeColor="text1"/>
          <w:lang w:val="en-US"/>
        </w:rPr>
        <w:t xml:space="preserve">Additionally, while we acknowledge that the requirement for CCPs to provide the simulation tool to </w:t>
      </w:r>
      <w:r w:rsidR="00B92707">
        <w:rPr>
          <w:color w:val="000000" w:themeColor="text1"/>
          <w:lang w:val="en-US"/>
        </w:rPr>
        <w:t>CSPs</w:t>
      </w:r>
      <w:r w:rsidRPr="002D3B05">
        <w:rPr>
          <w:color w:val="000000" w:themeColor="text1"/>
          <w:lang w:val="en-US"/>
        </w:rPr>
        <w:t xml:space="preserve"> stems from EMIR 3.0 Level 1, we note that ESMA’s latest drafting appears to be going in the right direction by not limiting the scope to </w:t>
      </w:r>
      <w:r w:rsidR="00742EA8" w:rsidRPr="002D3B05">
        <w:rPr>
          <w:color w:val="000000" w:themeColor="text1"/>
          <w:lang w:val="en-US"/>
        </w:rPr>
        <w:t>simulate</w:t>
      </w:r>
      <w:r w:rsidRPr="002D3B05">
        <w:rPr>
          <w:color w:val="000000" w:themeColor="text1"/>
          <w:lang w:val="en-US"/>
        </w:rPr>
        <w:t xml:space="preserve"> only a single new trade. Paragraph 22, for instance, </w:t>
      </w:r>
      <w:proofErr w:type="spellStart"/>
      <w:r w:rsidRPr="002D3B05">
        <w:rPr>
          <w:color w:val="000000" w:themeColor="text1"/>
          <w:lang w:val="en-US"/>
        </w:rPr>
        <w:t>recognises</w:t>
      </w:r>
      <w:proofErr w:type="spellEnd"/>
      <w:r w:rsidRPr="002D3B05">
        <w:rPr>
          <w:color w:val="000000" w:themeColor="text1"/>
          <w:lang w:val="en-US"/>
        </w:rPr>
        <w:t xml:space="preserve"> that the tool’s output should separate the initial margin for existing positions from the additional margin for new transactions, which could encompass multiple trades. This approach better reflects market practice, where margin is calculated on a net portfolio basis, i.e., the result of a set of existing and new trades, rather than on isolated individual trades. We welcome this direction, as a portfolio-based simulation tool is more meaningful for practical use, particularly in high-volume markets such as futures.</w:t>
      </w:r>
    </w:p>
    <w:p w14:paraId="1C127A0E" w14:textId="6A74DAC4" w:rsidR="00885510" w:rsidRPr="00CA4B3D" w:rsidRDefault="2B8512EF" w:rsidP="4B8DD299">
      <w:pPr>
        <w:spacing w:before="1"/>
        <w:ind w:right="111"/>
        <w:rPr>
          <w:color w:val="000000" w:themeColor="text1"/>
          <w:highlight w:val="magenta"/>
          <w:lang w:val="en-US"/>
        </w:rPr>
      </w:pPr>
      <w:r w:rsidRPr="2B8512EF">
        <w:rPr>
          <w:color w:val="000000" w:themeColor="text1"/>
          <w:highlight w:val="magenta"/>
          <w:lang w:val="en-US"/>
        </w:rPr>
        <w:t>Moreover, since clients may also face margin requirements based solely on CCP calculations, with no additional add-ons from their CSP, allowing them direct access to the simulation tool would significantly improve their ability to forecast expected level of margin calls and manage cash liquidity. To make the simulation tool effective in practice, we reiterate our message that clients should benefit from simulator access as well.</w:t>
      </w:r>
    </w:p>
    <w:p w14:paraId="58C8502E" w14:textId="31B1209F" w:rsidR="00885510" w:rsidRPr="00CA4B3D" w:rsidRDefault="2B8512EF" w:rsidP="00885510">
      <w:pPr>
        <w:spacing w:before="1"/>
        <w:ind w:right="111"/>
        <w:rPr>
          <w:color w:val="000000" w:themeColor="text1"/>
          <w:highlight w:val="magenta"/>
        </w:rPr>
      </w:pPr>
      <w:r w:rsidRPr="2B8512EF">
        <w:rPr>
          <w:color w:val="000000" w:themeColor="text1"/>
          <w:highlight w:val="magenta"/>
        </w:rPr>
        <w:t>Furthermore, the simulator should incorporate systematic margin add-ons, those not tied to the clearing service provider’s specific risk profile, to provide a more accurate picture of likely margin outcomes. Excluding these could significantly reduce the usefulness of the simulation results for both clearing members and their clients.</w:t>
      </w:r>
    </w:p>
    <w:p w14:paraId="3B85709B" w14:textId="17B8CA6F" w:rsidR="00885510" w:rsidRPr="00CA4B3D" w:rsidRDefault="2B8512EF" w:rsidP="00885510">
      <w:pPr>
        <w:spacing w:before="1"/>
        <w:ind w:right="111"/>
        <w:rPr>
          <w:color w:val="000000" w:themeColor="text1"/>
        </w:rPr>
      </w:pPr>
      <w:r w:rsidRPr="2B8512EF">
        <w:rPr>
          <w:color w:val="000000" w:themeColor="text1"/>
          <w:highlight w:val="magenta"/>
        </w:rPr>
        <w:t xml:space="preserve">In conclusion, we support ESMA’s approach and encourage the incorporation of the </w:t>
      </w:r>
      <w:proofErr w:type="gramStart"/>
      <w:r w:rsidRPr="2B8512EF">
        <w:rPr>
          <w:color w:val="000000" w:themeColor="text1"/>
          <w:highlight w:val="magenta"/>
        </w:rPr>
        <w:t>aforementioned enhancements</w:t>
      </w:r>
      <w:proofErr w:type="gramEnd"/>
      <w:r w:rsidRPr="2B8512EF">
        <w:rPr>
          <w:color w:val="000000" w:themeColor="text1"/>
          <w:highlight w:val="magenta"/>
        </w:rPr>
        <w:t xml:space="preserve"> to ensure that margin simulation tools are robust, transparent, and truly </w:t>
      </w:r>
      <w:r w:rsidRPr="2B8512EF">
        <w:rPr>
          <w:color w:val="000000" w:themeColor="text1"/>
          <w:highlight w:val="magenta"/>
        </w:rPr>
        <w:lastRenderedPageBreak/>
        <w:t xml:space="preserve">valuable. While the introduction of the tool is a welcome development, its current design and limited accessibility reduce its potential effectiveness. We therefore invite ESMA to consider expanding the tool’s functionality to support portfolio-level simulations and to extend access to clients, </w:t>
      </w:r>
      <w:proofErr w:type="gramStart"/>
      <w:r w:rsidRPr="2B8512EF">
        <w:rPr>
          <w:color w:val="000000" w:themeColor="text1"/>
          <w:highlight w:val="magenta"/>
        </w:rPr>
        <w:t>in order to</w:t>
      </w:r>
      <w:proofErr w:type="gramEnd"/>
      <w:r w:rsidRPr="2B8512EF">
        <w:rPr>
          <w:color w:val="000000" w:themeColor="text1"/>
          <w:highlight w:val="magenta"/>
        </w:rPr>
        <w:t xml:space="preserve"> better serve the market and enhance systemic risk management.</w:t>
      </w:r>
    </w:p>
    <w:permEnd w:id="2012300575"/>
    <w:p w14:paraId="2B2D8140" w14:textId="6AC163D9" w:rsidR="00693907" w:rsidRPr="003A5F6E" w:rsidRDefault="00693907" w:rsidP="00693907">
      <w:r w:rsidRPr="003A5F6E">
        <w:t>&lt;ESMA_QUESTION_</w:t>
      </w:r>
      <w:r w:rsidR="005B277C" w:rsidRPr="003A5F6E">
        <w:t>MARG</w:t>
      </w:r>
      <w:r w:rsidRPr="003A5F6E">
        <w:t>_4&gt;</w:t>
      </w:r>
    </w:p>
    <w:p w14:paraId="0BC438F6" w14:textId="208C2B29" w:rsidR="00693907" w:rsidRPr="003A5F6E" w:rsidRDefault="00693907" w:rsidP="00693907">
      <w:pPr>
        <w:pStyle w:val="Questionstyle"/>
      </w:pPr>
      <w:r w:rsidRPr="003A5F6E">
        <w:t xml:space="preserve">Do </w:t>
      </w:r>
      <w:r w:rsidR="007A0CCF" w:rsidRPr="003A5F6E">
        <w:t xml:space="preserve">you agree with the proposed information to be shared by CSPs on their margin models? Should any other element be </w:t>
      </w:r>
      <w:proofErr w:type="gramStart"/>
      <w:r w:rsidR="007A0CCF" w:rsidRPr="003A5F6E">
        <w:t>taken into account</w:t>
      </w:r>
      <w:proofErr w:type="gramEnd"/>
      <w:r w:rsidRPr="003A5F6E">
        <w:t xml:space="preserve">?    </w:t>
      </w:r>
    </w:p>
    <w:p w14:paraId="01C9FE80" w14:textId="1BE2C2C3" w:rsidR="00693907" w:rsidRPr="003A5F6E" w:rsidRDefault="43D0CEE3" w:rsidP="00693907">
      <w:r>
        <w:t>&lt;ESMA_QUESTION_MARG_5&gt;</w:t>
      </w:r>
    </w:p>
    <w:p w14:paraId="0B890E22" w14:textId="4376E384" w:rsidR="00DB0895" w:rsidRDefault="00DB0895" w:rsidP="07C5A5C2">
      <w:pPr>
        <w:spacing w:before="121"/>
        <w:ind w:left="116" w:right="111"/>
        <w:rPr>
          <w:rFonts w:eastAsia="Arial"/>
          <w:color w:val="000000" w:themeColor="text1"/>
          <w:lang w:val="en-US"/>
        </w:rPr>
      </w:pPr>
      <w:permStart w:id="1536499182" w:edGrp="everyone"/>
      <w:r w:rsidRPr="07C5A5C2">
        <w:rPr>
          <w:rFonts w:eastAsia="Arial"/>
          <w:color w:val="000000" w:themeColor="text1"/>
          <w:lang w:val="en-US"/>
        </w:rPr>
        <w:t>Yes, we fully support the proposed requirements and agree with ESMA's interpretation of Article 38(8) of EMIR. We would highlight the following core principles that should underpin any final rules:</w:t>
      </w:r>
    </w:p>
    <w:p w14:paraId="207B1B9B" w14:textId="77777777" w:rsidR="00DB0895" w:rsidRDefault="00DB0895" w:rsidP="003B7E82">
      <w:pPr>
        <w:pStyle w:val="ListParagraph"/>
        <w:numPr>
          <w:ilvl w:val="0"/>
          <w:numId w:val="40"/>
        </w:numPr>
        <w:spacing w:before="121"/>
        <w:ind w:right="111"/>
        <w:rPr>
          <w:rFonts w:eastAsia="Arial"/>
          <w:color w:val="000000" w:themeColor="text1"/>
          <w:szCs w:val="22"/>
          <w:lang w:val="en-US"/>
        </w:rPr>
      </w:pPr>
      <w:r w:rsidRPr="00DB0895">
        <w:rPr>
          <w:rFonts w:eastAsia="Arial"/>
          <w:color w:val="000000" w:themeColor="text1"/>
          <w:szCs w:val="22"/>
          <w:lang w:val="en-US"/>
        </w:rPr>
        <w:t>CSPs should make available to their clients all relevant information received from the CCP, particularly where it relates to margin requirements and margin add-ons that directly affect the client's exposure. This includes:</w:t>
      </w:r>
    </w:p>
    <w:p w14:paraId="3FD19706" w14:textId="77777777" w:rsidR="00DB0895" w:rsidRDefault="00DB0895" w:rsidP="003B7E82">
      <w:pPr>
        <w:pStyle w:val="ListParagraph"/>
        <w:numPr>
          <w:ilvl w:val="1"/>
          <w:numId w:val="40"/>
        </w:numPr>
        <w:spacing w:before="121"/>
        <w:ind w:right="111"/>
        <w:rPr>
          <w:rFonts w:eastAsia="Arial"/>
          <w:color w:val="000000" w:themeColor="text1"/>
          <w:szCs w:val="22"/>
          <w:lang w:val="en-US"/>
        </w:rPr>
      </w:pPr>
      <w:r w:rsidRPr="00DB0895">
        <w:rPr>
          <w:rFonts w:eastAsia="Arial"/>
          <w:color w:val="000000" w:themeColor="text1"/>
          <w:szCs w:val="22"/>
          <w:lang w:val="en-US"/>
        </w:rPr>
        <w:t xml:space="preserve">Core margin </w:t>
      </w:r>
      <w:proofErr w:type="gramStart"/>
      <w:r w:rsidRPr="00DB0895">
        <w:rPr>
          <w:rFonts w:eastAsia="Arial"/>
          <w:color w:val="000000" w:themeColor="text1"/>
          <w:szCs w:val="22"/>
          <w:lang w:val="en-US"/>
        </w:rPr>
        <w:t>methodologies;</w:t>
      </w:r>
      <w:proofErr w:type="gramEnd"/>
    </w:p>
    <w:p w14:paraId="713B644F" w14:textId="77777777" w:rsidR="00DB0895" w:rsidRDefault="00DB0895" w:rsidP="003B7E82">
      <w:pPr>
        <w:pStyle w:val="ListParagraph"/>
        <w:numPr>
          <w:ilvl w:val="1"/>
          <w:numId w:val="40"/>
        </w:numPr>
        <w:spacing w:before="121"/>
        <w:ind w:right="111"/>
        <w:rPr>
          <w:rFonts w:eastAsia="Arial"/>
          <w:color w:val="000000" w:themeColor="text1"/>
          <w:szCs w:val="22"/>
          <w:lang w:val="en-US"/>
        </w:rPr>
      </w:pPr>
      <w:r w:rsidRPr="00DB0895">
        <w:rPr>
          <w:rFonts w:eastAsia="Arial"/>
          <w:color w:val="000000" w:themeColor="text1"/>
          <w:szCs w:val="22"/>
          <w:lang w:val="en-US"/>
        </w:rPr>
        <w:t xml:space="preserve">Margin parameters used at the </w:t>
      </w:r>
      <w:proofErr w:type="gramStart"/>
      <w:r w:rsidRPr="00DB0895">
        <w:rPr>
          <w:rFonts w:eastAsia="Arial"/>
          <w:color w:val="000000" w:themeColor="text1"/>
          <w:szCs w:val="22"/>
          <w:lang w:val="en-US"/>
        </w:rPr>
        <w:t>CCP;</w:t>
      </w:r>
      <w:proofErr w:type="gramEnd"/>
    </w:p>
    <w:p w14:paraId="28066B36" w14:textId="7C0119A4" w:rsidR="00DB0895" w:rsidRDefault="26724E96" w:rsidP="003B7E82">
      <w:pPr>
        <w:pStyle w:val="ListParagraph"/>
        <w:numPr>
          <w:ilvl w:val="1"/>
          <w:numId w:val="40"/>
        </w:numPr>
        <w:spacing w:before="121"/>
        <w:ind w:right="111"/>
        <w:rPr>
          <w:rFonts w:eastAsia="Arial"/>
          <w:color w:val="000000" w:themeColor="text1"/>
          <w:lang w:val="en-US"/>
        </w:rPr>
      </w:pPr>
      <w:r w:rsidRPr="26724E96">
        <w:rPr>
          <w:rFonts w:eastAsia="Arial"/>
          <w:color w:val="000000" w:themeColor="text1"/>
          <w:lang w:val="en-US"/>
        </w:rPr>
        <w:t>Any systematic and/or ad</w:t>
      </w:r>
      <w:r w:rsidR="001B3EFF">
        <w:rPr>
          <w:rFonts w:eastAsia="Arial"/>
          <w:color w:val="000000" w:themeColor="text1"/>
          <w:lang w:val="en-US"/>
        </w:rPr>
        <w:t xml:space="preserve"> </w:t>
      </w:r>
      <w:r w:rsidRPr="26724E96">
        <w:rPr>
          <w:rFonts w:eastAsia="Arial"/>
          <w:color w:val="000000" w:themeColor="text1"/>
          <w:lang w:val="en-US"/>
        </w:rPr>
        <w:t>hoc add-ons that apply to the client’s portfolio.</w:t>
      </w:r>
    </w:p>
    <w:p w14:paraId="25170EF5" w14:textId="4237D452" w:rsidR="00DB0895" w:rsidRPr="00DB0895" w:rsidRDefault="3F3470FB" w:rsidP="3F3470FB">
      <w:pPr>
        <w:spacing w:before="121"/>
        <w:ind w:left="825" w:right="111"/>
        <w:rPr>
          <w:rFonts w:eastAsia="Arial"/>
          <w:color w:val="000000" w:themeColor="text1"/>
          <w:lang w:val="en-US"/>
        </w:rPr>
      </w:pPr>
      <w:r w:rsidRPr="3F3470FB">
        <w:rPr>
          <w:rFonts w:eastAsia="Arial"/>
          <w:color w:val="000000" w:themeColor="text1"/>
          <w:lang w:val="en-US"/>
        </w:rPr>
        <w:t>This transparency should not breach confidentiality – particularly in net omnibus structures – where margin data might be based on multiple clients. In such cases, CSPs should disaggregate or filter the information to reflect only what is relevant to each specific client.</w:t>
      </w:r>
    </w:p>
    <w:p w14:paraId="119F18EE" w14:textId="1CEE03A0" w:rsidR="00DB0895" w:rsidRDefault="00DB0895" w:rsidP="003B7E82">
      <w:pPr>
        <w:pStyle w:val="ListParagraph"/>
        <w:numPr>
          <w:ilvl w:val="0"/>
          <w:numId w:val="40"/>
        </w:numPr>
        <w:spacing w:before="121"/>
        <w:ind w:right="111"/>
        <w:rPr>
          <w:rFonts w:eastAsia="Arial"/>
          <w:color w:val="000000" w:themeColor="text1"/>
          <w:szCs w:val="22"/>
          <w:lang w:val="en-US"/>
        </w:rPr>
      </w:pPr>
      <w:r w:rsidRPr="00DB0895">
        <w:rPr>
          <w:rFonts w:eastAsia="Arial"/>
          <w:color w:val="000000" w:themeColor="text1"/>
          <w:szCs w:val="22"/>
          <w:lang w:val="en-US"/>
        </w:rPr>
        <w:t>In addition to relaying CCP data, CSPs must fully disclose any additional margin requirements they impose, such as:</w:t>
      </w:r>
    </w:p>
    <w:p w14:paraId="629464B5" w14:textId="77777777" w:rsidR="00DB0895" w:rsidRDefault="00DB0895" w:rsidP="003B7E82">
      <w:pPr>
        <w:pStyle w:val="ListParagraph"/>
        <w:numPr>
          <w:ilvl w:val="1"/>
          <w:numId w:val="40"/>
        </w:numPr>
        <w:spacing w:before="121"/>
        <w:ind w:right="111"/>
        <w:rPr>
          <w:rFonts w:eastAsia="Arial"/>
          <w:color w:val="000000" w:themeColor="text1"/>
          <w:szCs w:val="22"/>
          <w:lang w:val="en-US"/>
        </w:rPr>
      </w:pPr>
      <w:r w:rsidRPr="00DB0895">
        <w:rPr>
          <w:rFonts w:eastAsia="Arial"/>
          <w:color w:val="000000" w:themeColor="text1"/>
          <w:szCs w:val="22"/>
          <w:lang w:val="en-US"/>
        </w:rPr>
        <w:t>Multipliers,</w:t>
      </w:r>
    </w:p>
    <w:p w14:paraId="34A7E466" w14:textId="6655F7D6" w:rsidR="00DB0895" w:rsidRDefault="00DB0895" w:rsidP="003B7E82">
      <w:pPr>
        <w:pStyle w:val="ListParagraph"/>
        <w:numPr>
          <w:ilvl w:val="1"/>
          <w:numId w:val="40"/>
        </w:numPr>
        <w:spacing w:before="121"/>
        <w:ind w:right="111"/>
        <w:rPr>
          <w:rFonts w:eastAsia="Arial"/>
          <w:color w:val="000000" w:themeColor="text1"/>
          <w:szCs w:val="22"/>
          <w:lang w:val="en-US"/>
        </w:rPr>
      </w:pPr>
      <w:r w:rsidRPr="00DB0895">
        <w:rPr>
          <w:rFonts w:eastAsia="Arial"/>
          <w:color w:val="000000" w:themeColor="text1"/>
          <w:szCs w:val="22"/>
          <w:lang w:val="en-US"/>
        </w:rPr>
        <w:t>Credit overlays</w:t>
      </w:r>
      <w:r w:rsidR="005B1D9A">
        <w:rPr>
          <w:rFonts w:eastAsia="Arial"/>
          <w:color w:val="000000" w:themeColor="text1"/>
          <w:szCs w:val="22"/>
          <w:lang w:val="en-US"/>
        </w:rPr>
        <w:t>: t</w:t>
      </w:r>
      <w:r w:rsidR="005B1D9A" w:rsidRPr="3F3470FB">
        <w:rPr>
          <w:rFonts w:eastAsia="Arial"/>
          <w:color w:val="000000" w:themeColor="text1"/>
          <w:lang w:val="en-US"/>
        </w:rPr>
        <w:t>he rationale, calculation basis, and triggers for these overlays must be explained in a clear and transparent way to affected clients. This represents one of the most tangible improvements EMIR 3.0 introduces to the client clearing framework.</w:t>
      </w:r>
    </w:p>
    <w:p w14:paraId="36725C7F" w14:textId="77777777" w:rsidR="005B1D9A" w:rsidRPr="005B1D9A" w:rsidRDefault="00DB0895" w:rsidP="003B7E82">
      <w:pPr>
        <w:pStyle w:val="ListParagraph"/>
        <w:numPr>
          <w:ilvl w:val="1"/>
          <w:numId w:val="40"/>
        </w:numPr>
        <w:spacing w:before="121"/>
        <w:ind w:right="111"/>
        <w:rPr>
          <w:rFonts w:eastAsia="Arial"/>
          <w:color w:val="000000" w:themeColor="text1"/>
          <w:lang w:val="en-US"/>
        </w:rPr>
      </w:pPr>
      <w:r w:rsidRPr="00DB0895">
        <w:rPr>
          <w:rFonts w:eastAsia="Arial"/>
          <w:color w:val="000000" w:themeColor="text1"/>
          <w:szCs w:val="22"/>
          <w:lang w:val="en-US"/>
        </w:rPr>
        <w:t>House-specific stress scenarios or liquidity buffers.</w:t>
      </w:r>
    </w:p>
    <w:p w14:paraId="1F20D1E9" w14:textId="205D4D7C" w:rsidR="005B1D9A" w:rsidRDefault="005B1D9A" w:rsidP="003B7E82">
      <w:pPr>
        <w:pStyle w:val="ListParagraph"/>
        <w:numPr>
          <w:ilvl w:val="1"/>
          <w:numId w:val="40"/>
        </w:numPr>
        <w:spacing w:before="121"/>
        <w:ind w:right="111"/>
        <w:rPr>
          <w:rFonts w:eastAsia="Arial"/>
          <w:color w:val="000000" w:themeColor="text1"/>
          <w:lang w:val="en-US"/>
        </w:rPr>
      </w:pPr>
      <w:r w:rsidRPr="65065958">
        <w:rPr>
          <w:rFonts w:eastAsia="Arial"/>
          <w:color w:val="000000" w:themeColor="text1"/>
          <w:lang w:val="en-US"/>
        </w:rPr>
        <w:t>CSP risk policy changes,</w:t>
      </w:r>
    </w:p>
    <w:p w14:paraId="3C1880F1" w14:textId="5526849B" w:rsidR="00DB0895" w:rsidRPr="003B7E82" w:rsidRDefault="005B1D9A" w:rsidP="003B7E82">
      <w:pPr>
        <w:pStyle w:val="ListParagraph"/>
        <w:numPr>
          <w:ilvl w:val="1"/>
          <w:numId w:val="40"/>
        </w:numPr>
        <w:spacing w:before="121"/>
        <w:ind w:right="111"/>
        <w:rPr>
          <w:rFonts w:eastAsia="Arial"/>
          <w:color w:val="000000" w:themeColor="text1"/>
          <w:szCs w:val="22"/>
          <w:lang w:val="en-US"/>
        </w:rPr>
      </w:pPr>
      <w:r w:rsidRPr="65065958">
        <w:rPr>
          <w:rFonts w:eastAsia="Arial"/>
          <w:color w:val="000000" w:themeColor="text1"/>
          <w:lang w:val="en-US"/>
        </w:rPr>
        <w:t>Client-specific events (e.g. deterioration in creditworthiness or concentration risk).</w:t>
      </w:r>
    </w:p>
    <w:p w14:paraId="3AFA1EFA" w14:textId="752FA579" w:rsidR="00F5667F" w:rsidRDefault="005B1D9A" w:rsidP="003B7E82">
      <w:pPr>
        <w:spacing w:before="121"/>
        <w:ind w:left="113" w:right="113"/>
        <w:rPr>
          <w:rFonts w:eastAsia="Arial"/>
          <w:color w:val="000000" w:themeColor="text1"/>
          <w:lang w:val="en-US"/>
        </w:rPr>
      </w:pPr>
      <w:r>
        <w:rPr>
          <w:rFonts w:eastAsia="Arial"/>
          <w:color w:val="000000" w:themeColor="text1"/>
          <w:lang w:val="en-US"/>
        </w:rPr>
        <w:t xml:space="preserve">Additionally, we believe it’s important that </w:t>
      </w:r>
      <w:r w:rsidR="30E239BB" w:rsidRPr="30E239BB">
        <w:rPr>
          <w:rFonts w:eastAsia="Arial"/>
          <w:color w:val="000000" w:themeColor="text1"/>
          <w:lang w:val="en-US"/>
        </w:rPr>
        <w:t>CSPs provide clients with information on potential triggers for unscheduled intraday margin calls</w:t>
      </w:r>
      <w:r w:rsidR="00106DFB">
        <w:rPr>
          <w:rFonts w:eastAsia="Arial"/>
          <w:color w:val="000000" w:themeColor="text1"/>
          <w:lang w:val="en-US"/>
        </w:rPr>
        <w:t xml:space="preserve"> –</w:t>
      </w:r>
      <w:r w:rsidR="30E239BB" w:rsidRPr="30E239BB">
        <w:rPr>
          <w:rFonts w:eastAsia="Arial"/>
          <w:color w:val="000000" w:themeColor="text1"/>
          <w:lang w:val="en-US"/>
        </w:rPr>
        <w:t xml:space="preserve"> </w:t>
      </w:r>
      <w:r w:rsidR="00106DFB">
        <w:rPr>
          <w:rFonts w:eastAsia="Arial"/>
          <w:color w:val="000000" w:themeColor="text1"/>
          <w:lang w:val="en-US"/>
        </w:rPr>
        <w:t>i</w:t>
      </w:r>
      <w:r w:rsidR="30E239BB" w:rsidRPr="30E239BB">
        <w:rPr>
          <w:rFonts w:eastAsia="Arial"/>
          <w:color w:val="000000" w:themeColor="text1"/>
          <w:lang w:val="en-US"/>
        </w:rPr>
        <w:t xml:space="preserve">ncluding those </w:t>
      </w:r>
      <w:r w:rsidR="00E97F9A">
        <w:rPr>
          <w:rFonts w:eastAsia="Arial"/>
          <w:color w:val="000000" w:themeColor="text1"/>
          <w:lang w:val="en-US"/>
        </w:rPr>
        <w:t>initiated</w:t>
      </w:r>
      <w:r w:rsidR="7BAF5FCE" w:rsidRPr="7BAF5FCE">
        <w:rPr>
          <w:rFonts w:eastAsia="Arial"/>
          <w:color w:val="000000" w:themeColor="text1"/>
          <w:lang w:val="en-US"/>
        </w:rPr>
        <w:t xml:space="preserve"> by CCP during periods of market stress</w:t>
      </w:r>
      <w:r w:rsidR="00E97F9A">
        <w:rPr>
          <w:rFonts w:eastAsia="Arial"/>
          <w:color w:val="000000" w:themeColor="text1"/>
          <w:lang w:val="en-US"/>
        </w:rPr>
        <w:t xml:space="preserve"> – to enhance preparedness and risk management.</w:t>
      </w:r>
    </w:p>
    <w:p w14:paraId="1DB82C74" w14:textId="5AFBE7DB" w:rsidR="00DB0895" w:rsidRPr="00724D08" w:rsidRDefault="00E97F9A" w:rsidP="07C5A5C2">
      <w:pPr>
        <w:spacing w:before="121"/>
        <w:ind w:left="116" w:right="111"/>
        <w:rPr>
          <w:rFonts w:eastAsia="Arial"/>
          <w:color w:val="EE0000"/>
          <w:lang w:val="en-US"/>
        </w:rPr>
      </w:pPr>
      <w:r>
        <w:rPr>
          <w:rFonts w:eastAsia="Arial"/>
          <w:color w:val="000000" w:themeColor="text1"/>
          <w:lang w:val="en-US"/>
        </w:rPr>
        <w:lastRenderedPageBreak/>
        <w:t>As better explained in our response to Q1, t</w:t>
      </w:r>
      <w:r w:rsidR="07C5A5C2" w:rsidRPr="07C5A5C2">
        <w:rPr>
          <w:rFonts w:eastAsia="Arial"/>
          <w:color w:val="000000" w:themeColor="text1"/>
          <w:lang w:val="en-US"/>
        </w:rPr>
        <w:t xml:space="preserve">he effort required from CSPs is partially mitigated by the fact that many CCPs already make margin documentation, model details, and simulation tools publicly available. In these cases, CSPs should guide clients to the relevant resources. However, </w:t>
      </w:r>
      <w:r w:rsidR="00A36305" w:rsidRPr="07C5A5C2">
        <w:rPr>
          <w:rFonts w:eastAsia="Arial"/>
          <w:color w:val="000000" w:themeColor="text1"/>
          <w:lang w:val="en-US"/>
        </w:rPr>
        <w:t>when</w:t>
      </w:r>
      <w:r w:rsidR="07C5A5C2" w:rsidRPr="07C5A5C2">
        <w:rPr>
          <w:rFonts w:eastAsia="Arial"/>
          <w:color w:val="000000" w:themeColor="text1"/>
          <w:lang w:val="en-US"/>
        </w:rPr>
        <w:t xml:space="preserve"> clients are not granted access to such tools or documentation </w:t>
      </w:r>
      <w:r w:rsidR="07C5A5C2" w:rsidRPr="005715F7">
        <w:rPr>
          <w:rFonts w:eastAsia="Arial"/>
          <w:color w:val="000000" w:themeColor="text1"/>
          <w:lang w:val="en-US"/>
        </w:rPr>
        <w:t>directly</w:t>
      </w:r>
      <w:r w:rsidR="007F1F44" w:rsidRPr="005715F7">
        <w:rPr>
          <w:rFonts w:eastAsia="Arial"/>
          <w:color w:val="000000" w:themeColor="text1"/>
          <w:lang w:val="en-US"/>
        </w:rPr>
        <w:t xml:space="preserve"> - </w:t>
      </w:r>
      <w:r w:rsidR="007F1F44" w:rsidRPr="003B7E82">
        <w:rPr>
          <w:rFonts w:eastAsia="Arial"/>
          <w:color w:val="000000" w:themeColor="text1"/>
        </w:rPr>
        <w:t xml:space="preserve">either publicly or via a permissioned portal </w:t>
      </w:r>
      <w:r w:rsidR="007F1F44" w:rsidRPr="005715F7">
        <w:rPr>
          <w:rFonts w:eastAsia="Arial"/>
          <w:color w:val="000000" w:themeColor="text1"/>
        </w:rPr>
        <w:t xml:space="preserve">- </w:t>
      </w:r>
      <w:r w:rsidR="07C5A5C2" w:rsidRPr="005715F7">
        <w:rPr>
          <w:rFonts w:eastAsia="Arial"/>
          <w:color w:val="000000" w:themeColor="text1"/>
          <w:lang w:val="en-US"/>
        </w:rPr>
        <w:t>CSPs should be allowed to pass through the information which is made available to them, to preserve comparability and ensure a level playing field across the market.</w:t>
      </w:r>
      <w:r w:rsidR="00724D08" w:rsidRPr="005715F7">
        <w:rPr>
          <w:rFonts w:eastAsia="Arial"/>
          <w:color w:val="000000" w:themeColor="text1"/>
          <w:lang w:val="en-US"/>
        </w:rPr>
        <w:t xml:space="preserve"> </w:t>
      </w:r>
    </w:p>
    <w:p w14:paraId="3D3532C4" w14:textId="2D3DE3B0" w:rsidR="00693907" w:rsidRPr="00F5667F" w:rsidRDefault="00DB0895" w:rsidP="00F5667F">
      <w:pPr>
        <w:spacing w:before="121"/>
        <w:ind w:left="116" w:right="111"/>
        <w:rPr>
          <w:rFonts w:eastAsia="Arial"/>
          <w:color w:val="000000" w:themeColor="text1"/>
          <w:szCs w:val="22"/>
          <w:lang w:val="en-US"/>
        </w:rPr>
      </w:pPr>
      <w:r w:rsidRPr="00DB0895">
        <w:rPr>
          <w:rFonts w:eastAsia="Arial"/>
          <w:color w:val="000000" w:themeColor="text1"/>
          <w:szCs w:val="22"/>
          <w:lang w:val="en-US"/>
        </w:rPr>
        <w:t>In our view, this enhanced transparency is a key added value of EMIR 3.0, enabling clients to better understand, anticipate, and manage their margin requirements</w:t>
      </w:r>
      <w:r w:rsidR="00F5667F">
        <w:rPr>
          <w:rFonts w:eastAsia="Arial"/>
          <w:color w:val="000000" w:themeColor="text1"/>
          <w:szCs w:val="22"/>
          <w:lang w:val="en-US"/>
        </w:rPr>
        <w:t xml:space="preserve">, </w:t>
      </w:r>
      <w:r w:rsidRPr="00DB0895">
        <w:rPr>
          <w:rFonts w:eastAsia="Arial"/>
          <w:color w:val="000000" w:themeColor="text1"/>
          <w:szCs w:val="22"/>
          <w:lang w:val="en-US"/>
        </w:rPr>
        <w:t>especially in stressed conditions</w:t>
      </w:r>
      <w:r w:rsidR="00F5667F">
        <w:rPr>
          <w:rFonts w:eastAsia="Arial"/>
          <w:color w:val="000000" w:themeColor="text1"/>
          <w:szCs w:val="22"/>
          <w:lang w:val="en-US"/>
        </w:rPr>
        <w:t xml:space="preserve">, </w:t>
      </w:r>
      <w:r w:rsidRPr="00DB0895">
        <w:rPr>
          <w:rFonts w:eastAsia="Arial"/>
          <w:color w:val="000000" w:themeColor="text1"/>
          <w:szCs w:val="22"/>
          <w:lang w:val="en-US"/>
        </w:rPr>
        <w:t xml:space="preserve">and </w:t>
      </w:r>
      <w:r w:rsidR="00A36305" w:rsidRPr="00DB0895">
        <w:rPr>
          <w:rFonts w:eastAsia="Arial"/>
          <w:color w:val="000000" w:themeColor="text1"/>
          <w:szCs w:val="22"/>
          <w:lang w:val="en-US"/>
        </w:rPr>
        <w:t>improve</w:t>
      </w:r>
      <w:r w:rsidRPr="00DB0895">
        <w:rPr>
          <w:rFonts w:eastAsia="Arial"/>
          <w:color w:val="000000" w:themeColor="text1"/>
          <w:szCs w:val="22"/>
          <w:lang w:val="en-US"/>
        </w:rPr>
        <w:t xml:space="preserve"> risk preparedness across the clearing ecosystem.</w:t>
      </w:r>
    </w:p>
    <w:permEnd w:id="1536499182"/>
    <w:p w14:paraId="6036296B" w14:textId="4A398398" w:rsidR="00693907" w:rsidRPr="003A5F6E" w:rsidRDefault="00693907" w:rsidP="00693907">
      <w:r w:rsidRPr="003A5F6E">
        <w:t>&lt;ESMA_QUESTION_</w:t>
      </w:r>
      <w:r w:rsidR="00205D82" w:rsidRPr="003A5F6E">
        <w:t>MARG</w:t>
      </w:r>
      <w:r w:rsidRPr="003A5F6E">
        <w:t>_5&gt;</w:t>
      </w:r>
    </w:p>
    <w:p w14:paraId="18DFE8FB" w14:textId="18653492" w:rsidR="00693907" w:rsidRPr="003A5F6E" w:rsidRDefault="00693907" w:rsidP="00693907">
      <w:pPr>
        <w:pStyle w:val="Questionstyle"/>
      </w:pPr>
      <w:r w:rsidRPr="003A5F6E">
        <w:t>Do you</w:t>
      </w:r>
      <w:r w:rsidR="00476DE1" w:rsidRPr="003A5F6E">
        <w:t xml:space="preserve"> </w:t>
      </w:r>
      <w:r w:rsidR="00B60DE9" w:rsidRPr="003A5F6E">
        <w:t>agree with the proposals on the margin simulations to be provided by CSPs? Should there be any additional requirements</w:t>
      </w:r>
      <w:r w:rsidRPr="003A5F6E">
        <w:t>?</w:t>
      </w:r>
    </w:p>
    <w:p w14:paraId="60F9A95E" w14:textId="531C2F40" w:rsidR="00693907" w:rsidRPr="003A5F6E" w:rsidRDefault="00693907" w:rsidP="00693907">
      <w:r w:rsidRPr="003A5F6E">
        <w:t>&lt;ESMA_QUESTION_</w:t>
      </w:r>
      <w:r w:rsidR="00205D82" w:rsidRPr="003A5F6E">
        <w:t>MARG</w:t>
      </w:r>
      <w:r w:rsidRPr="003A5F6E">
        <w:t>_6&gt;</w:t>
      </w:r>
    </w:p>
    <w:p w14:paraId="58663FF6" w14:textId="7D956844" w:rsidR="00034285" w:rsidRDefault="004C1EF3" w:rsidP="3F3470FB">
      <w:pPr>
        <w:spacing w:before="122"/>
        <w:ind w:left="116" w:right="112"/>
        <w:rPr>
          <w:rFonts w:eastAsia="Arial"/>
          <w:color w:val="000000" w:themeColor="text1"/>
        </w:rPr>
      </w:pPr>
      <w:permStart w:id="1016208263" w:edGrp="everyone"/>
      <w:r w:rsidRPr="3F3470FB">
        <w:rPr>
          <w:rFonts w:eastAsia="Arial"/>
          <w:color w:val="000000" w:themeColor="text1"/>
        </w:rPr>
        <w:t>We</w:t>
      </w:r>
      <w:r w:rsidR="00DB650C">
        <w:rPr>
          <w:rFonts w:eastAsia="Arial"/>
          <w:color w:val="000000" w:themeColor="text1"/>
        </w:rPr>
        <w:t xml:space="preserve"> broadly support</w:t>
      </w:r>
      <w:r w:rsidR="00BE761D" w:rsidRPr="3F3470FB">
        <w:rPr>
          <w:rFonts w:eastAsia="Arial"/>
          <w:color w:val="000000" w:themeColor="text1"/>
        </w:rPr>
        <w:t xml:space="preserve"> </w:t>
      </w:r>
      <w:r w:rsidR="00BE761D" w:rsidRPr="000022D0">
        <w:rPr>
          <w:rFonts w:eastAsia="Arial"/>
          <w:color w:val="000000" w:themeColor="text1"/>
        </w:rPr>
        <w:t>ESMA’s</w:t>
      </w:r>
      <w:r w:rsidRPr="000022D0">
        <w:rPr>
          <w:rFonts w:eastAsia="Arial"/>
          <w:color w:val="000000" w:themeColor="text1"/>
        </w:rPr>
        <w:t xml:space="preserve"> </w:t>
      </w:r>
      <w:r w:rsidRPr="3F3470FB">
        <w:rPr>
          <w:rFonts w:eastAsia="Arial"/>
          <w:color w:val="000000" w:themeColor="text1"/>
        </w:rPr>
        <w:t>proposal</w:t>
      </w:r>
      <w:r w:rsidR="3F3470FB" w:rsidRPr="3F3470FB">
        <w:rPr>
          <w:rFonts w:eastAsia="Arial"/>
          <w:color w:val="000000" w:themeColor="text1"/>
        </w:rPr>
        <w:t>.</w:t>
      </w:r>
      <w:r w:rsidR="00CA73C5">
        <w:rPr>
          <w:rFonts w:eastAsia="Arial"/>
          <w:color w:val="000000" w:themeColor="text1"/>
        </w:rPr>
        <w:t xml:space="preserve"> </w:t>
      </w:r>
      <w:r w:rsidR="00894821">
        <w:rPr>
          <w:rFonts w:eastAsia="Arial"/>
          <w:color w:val="000000" w:themeColor="text1"/>
        </w:rPr>
        <w:t>Particularl</w:t>
      </w:r>
      <w:r w:rsidR="001A2316">
        <w:rPr>
          <w:rFonts w:eastAsia="Arial"/>
          <w:color w:val="000000" w:themeColor="text1"/>
        </w:rPr>
        <w:t xml:space="preserve">y the requirement that </w:t>
      </w:r>
      <w:r w:rsidR="00116415" w:rsidRPr="00CB50E7">
        <w:rPr>
          <w:rFonts w:eastAsia="Arial"/>
          <w:color w:val="000000" w:themeColor="text1"/>
        </w:rPr>
        <w:t xml:space="preserve">CSPs conduct regular, systematic simulations of client portfolios as an integral component of their risk management framework. </w:t>
      </w:r>
      <w:r w:rsidR="00204DF7">
        <w:rPr>
          <w:rFonts w:eastAsia="Arial"/>
          <w:color w:val="000000" w:themeColor="text1"/>
        </w:rPr>
        <w:t>In addition, we encourage CSPs to inco</w:t>
      </w:r>
      <w:r w:rsidR="00161583">
        <w:rPr>
          <w:rFonts w:eastAsia="Arial"/>
          <w:color w:val="000000" w:themeColor="text1"/>
        </w:rPr>
        <w:t xml:space="preserve">rporate </w:t>
      </w:r>
      <w:r w:rsidR="00116415" w:rsidRPr="00CB50E7">
        <w:rPr>
          <w:rFonts w:eastAsia="Arial"/>
          <w:color w:val="000000" w:themeColor="text1"/>
        </w:rPr>
        <w:t>both proprietary scenarios and those furnished or endorsed by CCPs.</w:t>
      </w:r>
      <w:r w:rsidR="00161583">
        <w:rPr>
          <w:rFonts w:eastAsia="Arial"/>
          <w:color w:val="000000" w:themeColor="text1"/>
        </w:rPr>
        <w:t xml:space="preserve"> This will ensure that simulations remain comprehensive and aligned wi</w:t>
      </w:r>
      <w:r w:rsidR="008E04D0">
        <w:rPr>
          <w:rFonts w:eastAsia="Arial"/>
          <w:color w:val="000000" w:themeColor="text1"/>
        </w:rPr>
        <w:t xml:space="preserve">th regulatory requirements and risk management practices. </w:t>
      </w:r>
    </w:p>
    <w:p w14:paraId="23EC8014" w14:textId="0A67D0C5" w:rsidR="00154585" w:rsidRPr="00154585" w:rsidRDefault="00154585" w:rsidP="00154585">
      <w:pPr>
        <w:spacing w:before="122"/>
        <w:ind w:left="116" w:right="112"/>
        <w:rPr>
          <w:rFonts w:eastAsia="Arial"/>
          <w:color w:val="000000" w:themeColor="text1"/>
        </w:rPr>
      </w:pPr>
      <w:r>
        <w:rPr>
          <w:rFonts w:eastAsia="Arial"/>
          <w:color w:val="000000" w:themeColor="text1"/>
        </w:rPr>
        <w:t>In principle, we also agree</w:t>
      </w:r>
      <w:r w:rsidR="006643A2">
        <w:rPr>
          <w:rFonts w:eastAsia="Arial"/>
          <w:color w:val="000000" w:themeColor="text1"/>
        </w:rPr>
        <w:t xml:space="preserve"> with ESMA</w:t>
      </w:r>
      <w:r>
        <w:rPr>
          <w:rFonts w:eastAsia="Arial"/>
          <w:color w:val="000000" w:themeColor="text1"/>
        </w:rPr>
        <w:t xml:space="preserve"> that, </w:t>
      </w:r>
      <w:r w:rsidRPr="00154585">
        <w:rPr>
          <w:rFonts w:eastAsia="Arial"/>
          <w:color w:val="000000" w:themeColor="text1"/>
        </w:rPr>
        <w:t>when a CSP uses a margin model different from that of the CCP, the simulation output must:</w:t>
      </w:r>
    </w:p>
    <w:p w14:paraId="36AADF7A" w14:textId="0E6D4C54" w:rsidR="00154585" w:rsidRPr="006643A2" w:rsidRDefault="00154585" w:rsidP="003B7E82">
      <w:pPr>
        <w:numPr>
          <w:ilvl w:val="0"/>
          <w:numId w:val="41"/>
        </w:numPr>
        <w:spacing w:before="122"/>
        <w:ind w:right="112"/>
        <w:rPr>
          <w:rFonts w:eastAsia="Arial"/>
          <w:color w:val="000000" w:themeColor="text1"/>
        </w:rPr>
      </w:pPr>
      <w:r w:rsidRPr="003B7E82">
        <w:rPr>
          <w:rFonts w:eastAsia="Arial"/>
          <w:color w:val="000000" w:themeColor="text1"/>
        </w:rPr>
        <w:t xml:space="preserve">Clearly distinguish between the pure CCP margin, calculated under the CCP’s model </w:t>
      </w:r>
      <w:r w:rsidR="00604192">
        <w:rPr>
          <w:rFonts w:eastAsia="Arial"/>
          <w:color w:val="000000" w:themeColor="text1"/>
        </w:rPr>
        <w:t>- which</w:t>
      </w:r>
      <w:r w:rsidRPr="003B7E82">
        <w:rPr>
          <w:rFonts w:eastAsia="Arial"/>
          <w:color w:val="000000" w:themeColor="text1"/>
        </w:rPr>
        <w:t xml:space="preserve"> serv</w:t>
      </w:r>
      <w:r w:rsidR="00604192">
        <w:rPr>
          <w:rFonts w:eastAsia="Arial"/>
          <w:color w:val="000000" w:themeColor="text1"/>
        </w:rPr>
        <w:t>es</w:t>
      </w:r>
      <w:r w:rsidRPr="003B7E82">
        <w:rPr>
          <w:rFonts w:eastAsia="Arial"/>
          <w:color w:val="000000" w:themeColor="text1"/>
        </w:rPr>
        <w:t xml:space="preserve"> as the standardized baseline</w:t>
      </w:r>
      <w:r w:rsidR="00604192">
        <w:rPr>
          <w:rFonts w:eastAsia="Arial"/>
          <w:color w:val="000000" w:themeColor="text1"/>
        </w:rPr>
        <w:t xml:space="preserve"> –</w:t>
      </w:r>
      <w:r w:rsidRPr="006643A2">
        <w:rPr>
          <w:rFonts w:eastAsia="Arial"/>
          <w:color w:val="000000" w:themeColor="text1"/>
        </w:rPr>
        <w:t xml:space="preserve"> and</w:t>
      </w:r>
      <w:r w:rsidR="00842B63" w:rsidRPr="006643A2">
        <w:rPr>
          <w:rFonts w:eastAsia="Arial"/>
          <w:color w:val="000000" w:themeColor="text1"/>
        </w:rPr>
        <w:t xml:space="preserve"> t</w:t>
      </w:r>
      <w:r w:rsidRPr="006643A2">
        <w:rPr>
          <w:rFonts w:eastAsia="Arial"/>
          <w:color w:val="000000" w:themeColor="text1"/>
        </w:rPr>
        <w:t>he margin calculated by the CSP under its own model.</w:t>
      </w:r>
    </w:p>
    <w:p w14:paraId="518FCD0C" w14:textId="5B3A03AF" w:rsidR="00154585" w:rsidRPr="006643A2" w:rsidRDefault="006643A2" w:rsidP="003B7E82">
      <w:pPr>
        <w:numPr>
          <w:ilvl w:val="0"/>
          <w:numId w:val="41"/>
        </w:numPr>
        <w:spacing w:before="122"/>
        <w:ind w:right="112"/>
        <w:rPr>
          <w:rFonts w:eastAsia="Arial"/>
          <w:color w:val="000000" w:themeColor="text1"/>
        </w:rPr>
      </w:pPr>
      <w:r w:rsidRPr="003B7E82">
        <w:rPr>
          <w:rFonts w:eastAsia="Arial"/>
          <w:color w:val="000000" w:themeColor="text1"/>
        </w:rPr>
        <w:t>And w</w:t>
      </w:r>
      <w:r w:rsidR="00154585" w:rsidRPr="003B7E82">
        <w:rPr>
          <w:rFonts w:eastAsia="Arial"/>
          <w:color w:val="000000" w:themeColor="text1"/>
        </w:rPr>
        <w:t>ithin the CSP’s margin model, clearly break down</w:t>
      </w:r>
      <w:r w:rsidRPr="003B7E82">
        <w:rPr>
          <w:rFonts w:eastAsia="Arial"/>
          <w:color w:val="000000" w:themeColor="text1"/>
        </w:rPr>
        <w:t xml:space="preserve"> t</w:t>
      </w:r>
      <w:r w:rsidR="00154585" w:rsidRPr="006643A2">
        <w:rPr>
          <w:rFonts w:eastAsia="Arial"/>
          <w:color w:val="000000" w:themeColor="text1"/>
        </w:rPr>
        <w:t>he core margin and</w:t>
      </w:r>
      <w:r w:rsidR="00604192">
        <w:rPr>
          <w:rFonts w:eastAsia="Arial"/>
          <w:color w:val="000000" w:themeColor="text1"/>
        </w:rPr>
        <w:t xml:space="preserve"> the</w:t>
      </w:r>
      <w:r w:rsidRPr="006643A2">
        <w:rPr>
          <w:rFonts w:eastAsia="Arial"/>
          <w:color w:val="000000" w:themeColor="text1"/>
        </w:rPr>
        <w:t xml:space="preserve"> </w:t>
      </w:r>
      <w:r w:rsidR="00154585" w:rsidRPr="003B7E82">
        <w:rPr>
          <w:rFonts w:eastAsia="Arial"/>
          <w:color w:val="000000" w:themeColor="text1"/>
        </w:rPr>
        <w:t>CSP-specific additions, broken down by type and accompanied by a brief methodological explanation</w:t>
      </w:r>
      <w:r w:rsidR="00154585" w:rsidRPr="006643A2">
        <w:rPr>
          <w:rFonts w:eastAsia="Arial"/>
          <w:color w:val="000000" w:themeColor="text1"/>
        </w:rPr>
        <w:t>.</w:t>
      </w:r>
    </w:p>
    <w:p w14:paraId="5FCBEA35" w14:textId="09AF6D9E" w:rsidR="00604192" w:rsidRPr="003B7E82" w:rsidRDefault="001F485B" w:rsidP="006643A2">
      <w:pPr>
        <w:spacing w:before="122"/>
        <w:ind w:left="116" w:right="112"/>
        <w:rPr>
          <w:rFonts w:eastAsia="Arial"/>
          <w:color w:val="000000" w:themeColor="text1"/>
        </w:rPr>
      </w:pPr>
      <w:r>
        <w:rPr>
          <w:rFonts w:eastAsia="Arial"/>
          <w:color w:val="000000" w:themeColor="text1"/>
        </w:rPr>
        <w:t>Furthermore</w:t>
      </w:r>
      <w:r w:rsidR="70B6618D" w:rsidRPr="70B6618D">
        <w:rPr>
          <w:rFonts w:eastAsia="Arial"/>
          <w:color w:val="000000" w:themeColor="text1"/>
        </w:rPr>
        <w:t xml:space="preserve">, we would like to </w:t>
      </w:r>
      <w:r w:rsidR="70B6618D" w:rsidRPr="003B7E82">
        <w:rPr>
          <w:rFonts w:eastAsia="Arial"/>
          <w:color w:val="000000" w:themeColor="text1"/>
        </w:rPr>
        <w:t xml:space="preserve">emphasize that CCPs should continue to serve as the primary and authoritative source of margin simulations for end clients. The simulation provided by CCPs should serve as the “golden source” to ensure accuracy, consistency, and timeliness of information. </w:t>
      </w:r>
      <w:r w:rsidR="70B6618D" w:rsidRPr="70B6618D">
        <w:rPr>
          <w:rFonts w:eastAsia="Arial"/>
          <w:color w:val="000000" w:themeColor="text1"/>
        </w:rPr>
        <w:t>This is especially important as end clients increasingly rely on margin simulations to assess exposure, inform trading decisions, and support internal risk models. CCP-provided simulations ensure consistency with actual margin calls and reduce fragmentation in the interpretation of margin requirements.</w:t>
      </w:r>
    </w:p>
    <w:p w14:paraId="242AC54D" w14:textId="0DA2CF3F" w:rsidR="43D0CEE3" w:rsidRDefault="00604192" w:rsidP="00CA4B3D">
      <w:pPr>
        <w:spacing w:before="122"/>
        <w:ind w:left="116" w:right="112"/>
      </w:pPr>
      <w:r>
        <w:rPr>
          <w:rFonts w:eastAsia="Arial"/>
          <w:color w:val="000000" w:themeColor="text1"/>
          <w:szCs w:val="22"/>
        </w:rPr>
        <w:lastRenderedPageBreak/>
        <w:t>In</w:t>
      </w:r>
      <w:r w:rsidR="00F21E94">
        <w:rPr>
          <w:rFonts w:eastAsia="Arial"/>
          <w:color w:val="000000" w:themeColor="text1"/>
          <w:szCs w:val="22"/>
        </w:rPr>
        <w:t xml:space="preserve"> conclusion,</w:t>
      </w:r>
      <w:r w:rsidR="002C6275" w:rsidRPr="002C6275">
        <w:rPr>
          <w:rFonts w:eastAsia="Arial"/>
          <w:color w:val="000000" w:themeColor="text1"/>
          <w:szCs w:val="22"/>
        </w:rPr>
        <w:t xml:space="preserve"> transparent communicat</w:t>
      </w:r>
      <w:r w:rsidR="00F21E94">
        <w:rPr>
          <w:rFonts w:eastAsia="Arial"/>
          <w:color w:val="000000" w:themeColor="text1"/>
          <w:szCs w:val="22"/>
        </w:rPr>
        <w:t>ion</w:t>
      </w:r>
      <w:r w:rsidR="002C6275" w:rsidRPr="002C6275">
        <w:rPr>
          <w:rFonts w:eastAsia="Arial"/>
          <w:color w:val="000000" w:themeColor="text1"/>
          <w:szCs w:val="22"/>
        </w:rPr>
        <w:t xml:space="preserve"> </w:t>
      </w:r>
      <w:r w:rsidR="003445B4">
        <w:rPr>
          <w:rFonts w:eastAsia="Arial"/>
          <w:color w:val="000000" w:themeColor="text1"/>
          <w:szCs w:val="22"/>
        </w:rPr>
        <w:t xml:space="preserve">of simulations results enables </w:t>
      </w:r>
      <w:r w:rsidR="002C6275" w:rsidRPr="002C6275">
        <w:rPr>
          <w:rFonts w:eastAsia="Arial"/>
          <w:color w:val="000000" w:themeColor="text1"/>
          <w:szCs w:val="22"/>
        </w:rPr>
        <w:t xml:space="preserve">clients to </w:t>
      </w:r>
      <w:r w:rsidR="003445B4">
        <w:rPr>
          <w:rFonts w:eastAsia="Arial"/>
          <w:color w:val="000000" w:themeColor="text1"/>
          <w:szCs w:val="22"/>
        </w:rPr>
        <w:t>align</w:t>
      </w:r>
      <w:r w:rsidR="003445B4" w:rsidRPr="002C6275">
        <w:rPr>
          <w:rFonts w:eastAsia="Arial"/>
          <w:color w:val="000000" w:themeColor="text1"/>
          <w:szCs w:val="22"/>
        </w:rPr>
        <w:t xml:space="preserve"> </w:t>
      </w:r>
      <w:r w:rsidR="002C6275" w:rsidRPr="002C6275">
        <w:rPr>
          <w:rFonts w:eastAsia="Arial"/>
          <w:color w:val="000000" w:themeColor="text1"/>
          <w:szCs w:val="22"/>
        </w:rPr>
        <w:t>CSP outputs with their own internal assessments</w:t>
      </w:r>
      <w:r w:rsidR="00F43D4F">
        <w:rPr>
          <w:rFonts w:eastAsia="Arial"/>
          <w:color w:val="000000" w:themeColor="text1"/>
          <w:szCs w:val="22"/>
        </w:rPr>
        <w:t xml:space="preserve"> and better understand the drivers of margin requirements</w:t>
      </w:r>
      <w:r w:rsidR="002C6275" w:rsidRPr="002C6275">
        <w:rPr>
          <w:rFonts w:eastAsia="Arial"/>
          <w:color w:val="000000" w:themeColor="text1"/>
          <w:szCs w:val="22"/>
        </w:rPr>
        <w:t xml:space="preserve">. Such reciprocal transparency </w:t>
      </w:r>
      <w:r w:rsidR="00501A44">
        <w:rPr>
          <w:rFonts w:eastAsia="Arial"/>
          <w:color w:val="000000" w:themeColor="text1"/>
          <w:szCs w:val="22"/>
        </w:rPr>
        <w:t>will</w:t>
      </w:r>
      <w:r w:rsidR="00501A44" w:rsidRPr="002C6275">
        <w:rPr>
          <w:rFonts w:eastAsia="Arial"/>
          <w:color w:val="000000" w:themeColor="text1"/>
          <w:szCs w:val="22"/>
        </w:rPr>
        <w:t xml:space="preserve"> </w:t>
      </w:r>
      <w:r w:rsidR="002C6275" w:rsidRPr="002C6275">
        <w:rPr>
          <w:rFonts w:eastAsia="Arial"/>
          <w:color w:val="000000" w:themeColor="text1"/>
          <w:szCs w:val="22"/>
        </w:rPr>
        <w:t>substantially enhance the</w:t>
      </w:r>
      <w:r w:rsidR="00CA4B3D" w:rsidRPr="00CA4B3D">
        <w:rPr>
          <w:rFonts w:eastAsia="Arial"/>
          <w:color w:val="000000" w:themeColor="text1"/>
          <w:szCs w:val="22"/>
        </w:rPr>
        <w:t xml:space="preserve"> quality and strength of margin risk management throughout the clearing chain, helping CCPs, CSPs, and end clients work together more effectively and build greater resilience.</w:t>
      </w:r>
      <w:permEnd w:id="1016208263"/>
    </w:p>
    <w:p w14:paraId="1EC367CD" w14:textId="74ECF293" w:rsidR="00E619AB" w:rsidRPr="00B25E0D" w:rsidRDefault="00693907" w:rsidP="00693907">
      <w:r w:rsidRPr="003A5F6E">
        <w:t>&lt;ESMA_QUESTION_</w:t>
      </w:r>
      <w:r w:rsidR="00205D82" w:rsidRPr="003A5F6E">
        <w:t>MARG</w:t>
      </w:r>
      <w:r w:rsidRPr="003A5F6E">
        <w:t>_6</w:t>
      </w:r>
      <w:r w:rsidR="00AE73DD">
        <w:t>&gt;</w:t>
      </w:r>
    </w:p>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9F0B" w14:textId="77777777" w:rsidR="00E00F70" w:rsidRPr="003A5F6E" w:rsidRDefault="00E00F70" w:rsidP="00F716D4">
      <w:r w:rsidRPr="003A5F6E">
        <w:separator/>
      </w:r>
    </w:p>
    <w:p w14:paraId="54381F65" w14:textId="77777777" w:rsidR="00E00F70" w:rsidRPr="003A5F6E" w:rsidRDefault="00E00F70" w:rsidP="00F716D4"/>
  </w:endnote>
  <w:endnote w:type="continuationSeparator" w:id="0">
    <w:p w14:paraId="4AE95E9D" w14:textId="77777777" w:rsidR="00E00F70" w:rsidRPr="003A5F6E" w:rsidRDefault="00E00F70" w:rsidP="00F716D4">
      <w:r w:rsidRPr="003A5F6E">
        <w:continuationSeparator/>
      </w:r>
    </w:p>
    <w:p w14:paraId="75DF89DE" w14:textId="77777777" w:rsidR="00E00F70" w:rsidRPr="003A5F6E" w:rsidRDefault="00E00F70" w:rsidP="00F716D4"/>
  </w:endnote>
  <w:endnote w:type="continuationNotice" w:id="1">
    <w:p w14:paraId="25095E87" w14:textId="77777777" w:rsidR="00E00F70" w:rsidRPr="003A5F6E" w:rsidRDefault="00E00F70"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rsidRPr="003A5F6E" w14:paraId="1C1E10B6" w14:textId="77777777" w:rsidTr="296079D6">
      <w:trPr>
        <w:trHeight w:val="300"/>
      </w:trPr>
      <w:tc>
        <w:tcPr>
          <w:tcW w:w="3020" w:type="dxa"/>
        </w:tcPr>
        <w:p w14:paraId="754C647F" w14:textId="0D2438C9" w:rsidR="296079D6" w:rsidRPr="003A5F6E" w:rsidRDefault="296079D6" w:rsidP="296079D6">
          <w:pPr>
            <w:pStyle w:val="Header"/>
            <w:ind w:left="-115"/>
            <w:jc w:val="left"/>
          </w:pPr>
        </w:p>
      </w:tc>
      <w:tc>
        <w:tcPr>
          <w:tcW w:w="3020" w:type="dxa"/>
        </w:tcPr>
        <w:p w14:paraId="31DF827A" w14:textId="32EA9807" w:rsidR="296079D6" w:rsidRPr="003A5F6E" w:rsidRDefault="296079D6" w:rsidP="296079D6">
          <w:pPr>
            <w:pStyle w:val="Header"/>
            <w:jc w:val="center"/>
          </w:pPr>
        </w:p>
      </w:tc>
      <w:tc>
        <w:tcPr>
          <w:tcW w:w="3020" w:type="dxa"/>
        </w:tcPr>
        <w:p w14:paraId="684BE38F" w14:textId="24CDFEA3" w:rsidR="296079D6" w:rsidRPr="003A5F6E" w:rsidRDefault="296079D6" w:rsidP="296079D6">
          <w:pPr>
            <w:pStyle w:val="Header"/>
            <w:ind w:right="-115"/>
            <w:jc w:val="right"/>
          </w:pPr>
        </w:p>
      </w:tc>
    </w:tr>
  </w:tbl>
  <w:p w14:paraId="1EA6AD30" w14:textId="508E27C7" w:rsidR="296079D6" w:rsidRPr="003A5F6E" w:rsidRDefault="296079D6" w:rsidP="29607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rsidRPr="003A5F6E" w14:paraId="0DB3A058" w14:textId="77777777" w:rsidTr="296079D6">
      <w:trPr>
        <w:trHeight w:val="300"/>
      </w:trPr>
      <w:tc>
        <w:tcPr>
          <w:tcW w:w="3020" w:type="dxa"/>
        </w:tcPr>
        <w:p w14:paraId="0D5A25EC" w14:textId="6A091ED5" w:rsidR="296079D6" w:rsidRPr="003A5F6E" w:rsidRDefault="296079D6" w:rsidP="296079D6">
          <w:pPr>
            <w:pStyle w:val="Header"/>
            <w:ind w:left="-115"/>
            <w:jc w:val="left"/>
          </w:pPr>
        </w:p>
      </w:tc>
      <w:tc>
        <w:tcPr>
          <w:tcW w:w="3020" w:type="dxa"/>
        </w:tcPr>
        <w:p w14:paraId="60B14148" w14:textId="19E36BA0" w:rsidR="296079D6" w:rsidRPr="003A5F6E" w:rsidRDefault="296079D6" w:rsidP="296079D6">
          <w:pPr>
            <w:pStyle w:val="Header"/>
            <w:jc w:val="center"/>
          </w:pPr>
        </w:p>
      </w:tc>
      <w:tc>
        <w:tcPr>
          <w:tcW w:w="3020" w:type="dxa"/>
        </w:tcPr>
        <w:p w14:paraId="767ABF03" w14:textId="0FB96330" w:rsidR="296079D6" w:rsidRPr="003A5F6E" w:rsidRDefault="296079D6" w:rsidP="296079D6">
          <w:pPr>
            <w:pStyle w:val="Header"/>
            <w:ind w:right="-115"/>
            <w:jc w:val="right"/>
          </w:pPr>
        </w:p>
      </w:tc>
    </w:tr>
  </w:tbl>
  <w:p w14:paraId="31D907CC" w14:textId="0849D0C5" w:rsidR="296079D6" w:rsidRPr="003A5F6E" w:rsidRDefault="296079D6" w:rsidP="29607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rsidRPr="003A5F6E" w14:paraId="24241131" w14:textId="77777777" w:rsidTr="296079D6">
      <w:trPr>
        <w:trHeight w:val="300"/>
      </w:trPr>
      <w:tc>
        <w:tcPr>
          <w:tcW w:w="3135" w:type="dxa"/>
        </w:tcPr>
        <w:p w14:paraId="687692A0" w14:textId="26235DD5" w:rsidR="296079D6" w:rsidRPr="003A5F6E" w:rsidRDefault="296079D6" w:rsidP="296079D6">
          <w:pPr>
            <w:pStyle w:val="Header"/>
            <w:ind w:left="-115"/>
            <w:jc w:val="left"/>
          </w:pPr>
        </w:p>
      </w:tc>
      <w:tc>
        <w:tcPr>
          <w:tcW w:w="3135" w:type="dxa"/>
        </w:tcPr>
        <w:p w14:paraId="31FEBFF4" w14:textId="743D0A84" w:rsidR="296079D6" w:rsidRPr="003A5F6E" w:rsidRDefault="296079D6" w:rsidP="296079D6">
          <w:pPr>
            <w:pStyle w:val="Header"/>
            <w:jc w:val="center"/>
          </w:pPr>
        </w:p>
      </w:tc>
      <w:tc>
        <w:tcPr>
          <w:tcW w:w="3135" w:type="dxa"/>
        </w:tcPr>
        <w:p w14:paraId="66BF4A57" w14:textId="3665E6D3" w:rsidR="296079D6" w:rsidRPr="003A5F6E" w:rsidRDefault="296079D6" w:rsidP="296079D6">
          <w:pPr>
            <w:pStyle w:val="Header"/>
            <w:ind w:right="-115"/>
            <w:jc w:val="right"/>
          </w:pPr>
        </w:p>
      </w:tc>
    </w:tr>
  </w:tbl>
  <w:p w14:paraId="157512C3" w14:textId="4E034532" w:rsidR="296079D6" w:rsidRPr="003A5F6E" w:rsidRDefault="296079D6" w:rsidP="296079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885510" w:rsidRDefault="00104E00" w:rsidP="00104E00">
    <w:pPr>
      <w:pStyle w:val="Footer"/>
      <w:jc w:val="left"/>
      <w:rPr>
        <w:color w:val="001B4F"/>
        <w:sz w:val="15"/>
        <w:szCs w:val="15"/>
        <w:lang w:val="fr-FR"/>
      </w:rPr>
    </w:pPr>
    <w:r w:rsidRPr="00A70B54">
      <w:rPr>
        <w:color w:val="001B4F"/>
        <w:sz w:val="15"/>
        <w:szCs w:val="15"/>
        <w:lang w:val="fr-FR"/>
      </w:rPr>
      <w:t xml:space="preserve">ESMA - 201-203 rue de Bercy - CS 80910 - 75589 Paris Cedex 12 - France - Tel. </w:t>
    </w:r>
    <w:r w:rsidRPr="00885510">
      <w:rPr>
        <w:color w:val="001B4F"/>
        <w:sz w:val="15"/>
        <w:szCs w:val="15"/>
        <w:lang w:val="fr-FR"/>
      </w:rPr>
      <w:t xml:space="preserve">+33 (0) 1 58 36 43 21 - </w:t>
    </w:r>
    <w:hyperlink r:id="rId1" w:history="1">
      <w:r w:rsidRPr="00885510">
        <w:rPr>
          <w:rStyle w:val="Hyperlink"/>
          <w:sz w:val="15"/>
          <w:szCs w:val="15"/>
          <w:lang w:val="fr-FR"/>
        </w:rPr>
        <w:t>www.esma.europa.eu</w:t>
      </w:r>
    </w:hyperlink>
    <w:sdt>
      <w:sdtPr>
        <w:id w:val="1246149520"/>
        <w:docPartObj>
          <w:docPartGallery w:val="Page Numbers (Bottom of Page)"/>
          <w:docPartUnique/>
        </w:docPartObj>
      </w:sdtPr>
      <w:sdtEndPr>
        <w:rPr>
          <w:color w:val="001B4F"/>
          <w:sz w:val="15"/>
          <w:szCs w:val="15"/>
        </w:rPr>
      </w:sdtEndPr>
      <w:sdtContent>
        <w:r w:rsidRPr="00885510">
          <w:rPr>
            <w:color w:val="001B4F"/>
            <w:sz w:val="15"/>
            <w:szCs w:val="15"/>
            <w:lang w:val="fr-FR"/>
          </w:rPr>
          <w:tab/>
        </w:r>
        <w:r w:rsidR="00C54034" w:rsidRPr="003A5F6E">
          <w:rPr>
            <w:color w:val="001B4F"/>
            <w:sz w:val="15"/>
            <w:szCs w:val="15"/>
          </w:rPr>
          <w:fldChar w:fldCharType="begin"/>
        </w:r>
        <w:r w:rsidR="00C54034" w:rsidRPr="00885510">
          <w:rPr>
            <w:color w:val="001B4F"/>
            <w:sz w:val="15"/>
            <w:szCs w:val="15"/>
            <w:lang w:val="fr-FR"/>
          </w:rPr>
          <w:instrText xml:space="preserve"> PAGE   \* MERGEFORMAT </w:instrText>
        </w:r>
        <w:r w:rsidR="00C54034" w:rsidRPr="003A5F6E">
          <w:rPr>
            <w:color w:val="001B4F"/>
            <w:sz w:val="15"/>
            <w:szCs w:val="15"/>
          </w:rPr>
          <w:fldChar w:fldCharType="separate"/>
        </w:r>
        <w:r w:rsidR="00C54034" w:rsidRPr="00885510">
          <w:rPr>
            <w:color w:val="001B4F"/>
            <w:sz w:val="15"/>
            <w:szCs w:val="15"/>
            <w:lang w:val="fr-FR"/>
          </w:rPr>
          <w:t>2</w:t>
        </w:r>
        <w:r w:rsidR="00C54034" w:rsidRPr="003A5F6E">
          <w:rPr>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rsidRPr="003A5F6E" w14:paraId="10507C07" w14:textId="77777777" w:rsidTr="296079D6">
      <w:trPr>
        <w:trHeight w:val="300"/>
      </w:trPr>
      <w:tc>
        <w:tcPr>
          <w:tcW w:w="3135" w:type="dxa"/>
        </w:tcPr>
        <w:p w14:paraId="10CFBD3B" w14:textId="7AF655F4" w:rsidR="296079D6" w:rsidRPr="003A5F6E" w:rsidRDefault="296079D6" w:rsidP="296079D6">
          <w:pPr>
            <w:pStyle w:val="Header"/>
            <w:ind w:left="-115"/>
            <w:jc w:val="left"/>
          </w:pPr>
        </w:p>
      </w:tc>
      <w:tc>
        <w:tcPr>
          <w:tcW w:w="3135" w:type="dxa"/>
        </w:tcPr>
        <w:p w14:paraId="72746E3F" w14:textId="086867DB" w:rsidR="296079D6" w:rsidRPr="003A5F6E" w:rsidRDefault="296079D6" w:rsidP="296079D6">
          <w:pPr>
            <w:pStyle w:val="Header"/>
            <w:jc w:val="center"/>
          </w:pPr>
        </w:p>
      </w:tc>
      <w:tc>
        <w:tcPr>
          <w:tcW w:w="3135" w:type="dxa"/>
        </w:tcPr>
        <w:p w14:paraId="21F1D28C" w14:textId="1B826CAC" w:rsidR="296079D6" w:rsidRPr="003A5F6E" w:rsidRDefault="296079D6" w:rsidP="296079D6">
          <w:pPr>
            <w:pStyle w:val="Header"/>
            <w:ind w:right="-115"/>
            <w:jc w:val="right"/>
          </w:pPr>
        </w:p>
      </w:tc>
    </w:tr>
  </w:tbl>
  <w:p w14:paraId="6D27F183" w14:textId="7AC7FD41" w:rsidR="296079D6" w:rsidRPr="003A5F6E" w:rsidRDefault="296079D6" w:rsidP="2960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DE18B" w14:textId="77777777" w:rsidR="00E00F70" w:rsidRPr="003A5F6E" w:rsidRDefault="00E00F70" w:rsidP="00F716D4">
      <w:r w:rsidRPr="003A5F6E">
        <w:separator/>
      </w:r>
    </w:p>
    <w:p w14:paraId="747267BC" w14:textId="77777777" w:rsidR="00E00F70" w:rsidRPr="003A5F6E" w:rsidRDefault="00E00F70" w:rsidP="00F716D4"/>
  </w:footnote>
  <w:footnote w:type="continuationSeparator" w:id="0">
    <w:p w14:paraId="52DF76CB" w14:textId="77777777" w:rsidR="00E00F70" w:rsidRPr="003A5F6E" w:rsidRDefault="00E00F70" w:rsidP="00F716D4">
      <w:r w:rsidRPr="003A5F6E">
        <w:continuationSeparator/>
      </w:r>
    </w:p>
    <w:p w14:paraId="61DD3A49" w14:textId="77777777" w:rsidR="00E00F70" w:rsidRPr="003A5F6E" w:rsidRDefault="00E00F70" w:rsidP="00F716D4"/>
  </w:footnote>
  <w:footnote w:type="continuationNotice" w:id="1">
    <w:p w14:paraId="6FFC9084" w14:textId="77777777" w:rsidR="00E00F70" w:rsidRPr="003A5F6E" w:rsidRDefault="00E00F70" w:rsidP="00F716D4"/>
  </w:footnote>
  <w:footnote w:id="2">
    <w:p w14:paraId="41CC19FE" w14:textId="3A3E7E9E" w:rsidR="00A12CF8" w:rsidRPr="00182711" w:rsidRDefault="00A12CF8" w:rsidP="00182711">
      <w:pPr>
        <w:pStyle w:val="FootnoteText"/>
      </w:pPr>
      <w:r>
        <w:rPr>
          <w:rStyle w:val="FootnoteReference"/>
        </w:rPr>
        <w:footnoteRef/>
      </w:r>
      <w:r w:rsidR="00510F75">
        <w:t xml:space="preserve">The Global Association of Central Counterparties: </w:t>
      </w:r>
      <w:hyperlink r:id="rId1" w:history="1">
        <w:r w:rsidR="00182711" w:rsidRPr="00510F75">
          <w:rPr>
            <w:rStyle w:val="Hyperlink"/>
          </w:rPr>
          <w:t>2022 ANNUAL MARKETS REVIEW IN CENTRAL COUNTERPARTY CLEARING A CCP12 REPORT</w:t>
        </w:r>
      </w:hyperlink>
      <w:r w:rsidR="00510F75">
        <w:t>, July 2023</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rsidRPr="003A5F6E" w14:paraId="76D8A236" w14:textId="77777777" w:rsidTr="296079D6">
      <w:trPr>
        <w:trHeight w:val="300"/>
      </w:trPr>
      <w:tc>
        <w:tcPr>
          <w:tcW w:w="3020" w:type="dxa"/>
        </w:tcPr>
        <w:p w14:paraId="4C0D83D6" w14:textId="1D07C450" w:rsidR="296079D6" w:rsidRPr="003A5F6E" w:rsidRDefault="296079D6" w:rsidP="296079D6">
          <w:pPr>
            <w:pStyle w:val="Header"/>
            <w:ind w:left="-115"/>
            <w:jc w:val="left"/>
          </w:pPr>
        </w:p>
      </w:tc>
      <w:tc>
        <w:tcPr>
          <w:tcW w:w="3020" w:type="dxa"/>
        </w:tcPr>
        <w:p w14:paraId="5F6E5D6D" w14:textId="78CCE3A7" w:rsidR="296079D6" w:rsidRPr="003A5F6E" w:rsidRDefault="296079D6" w:rsidP="296079D6">
          <w:pPr>
            <w:pStyle w:val="Header"/>
            <w:jc w:val="center"/>
          </w:pPr>
        </w:p>
      </w:tc>
      <w:tc>
        <w:tcPr>
          <w:tcW w:w="3020" w:type="dxa"/>
        </w:tcPr>
        <w:p w14:paraId="6E6D04F9" w14:textId="6B14CEDE" w:rsidR="296079D6" w:rsidRPr="003A5F6E" w:rsidRDefault="296079D6" w:rsidP="296079D6">
          <w:pPr>
            <w:pStyle w:val="Header"/>
            <w:ind w:right="-115"/>
            <w:jc w:val="right"/>
          </w:pPr>
        </w:p>
      </w:tc>
    </w:tr>
  </w:tbl>
  <w:p w14:paraId="6E7E6717" w14:textId="102B89E2" w:rsidR="296079D6" w:rsidRPr="003A5F6E" w:rsidRDefault="296079D6" w:rsidP="2960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3A5F6E" w:rsidRDefault="004E60D2" w:rsidP="004E60D2">
    <w:pPr>
      <w:spacing w:after="0"/>
      <w:jc w:val="right"/>
      <w:rPr>
        <w:rStyle w:val="normaltextrun"/>
        <w:color w:val="001B4F"/>
        <w:sz w:val="16"/>
        <w:szCs w:val="16"/>
        <w:shd w:val="clear" w:color="auto" w:fill="FFFFFF"/>
      </w:rPr>
    </w:pPr>
    <w:r w:rsidRPr="003A5F6E">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1989033353" name="Picture 198903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3A5F6E">
      <w:rPr>
        <w:rStyle w:val="normaltextrun"/>
        <w:color w:val="001B4F"/>
        <w:sz w:val="16"/>
        <w:szCs w:val="16"/>
        <w:shd w:val="clear" w:color="auto" w:fill="FFFFFF"/>
      </w:rPr>
      <w:t>24</w:t>
    </w:r>
    <w:r w:rsidR="006D75F9" w:rsidRPr="003A5F6E">
      <w:rPr>
        <w:rStyle w:val="normaltextrun"/>
        <w:color w:val="001B4F"/>
        <w:sz w:val="16"/>
        <w:szCs w:val="16"/>
        <w:shd w:val="clear" w:color="auto" w:fill="FFFFFF"/>
      </w:rPr>
      <w:t xml:space="preserve"> June</w:t>
    </w:r>
    <w:r w:rsidRPr="003A5F6E">
      <w:rPr>
        <w:rStyle w:val="normaltextrun"/>
        <w:color w:val="001B4F"/>
        <w:sz w:val="16"/>
        <w:szCs w:val="16"/>
        <w:shd w:val="clear" w:color="auto" w:fill="FFFFFF"/>
      </w:rPr>
      <w:t xml:space="preserve"> 202</w:t>
    </w:r>
    <w:r w:rsidR="007C5962" w:rsidRPr="003A5F6E">
      <w:rPr>
        <w:rStyle w:val="normaltextrun"/>
        <w:color w:val="001B4F"/>
        <w:sz w:val="16"/>
        <w:szCs w:val="16"/>
        <w:shd w:val="clear" w:color="auto" w:fill="FFFFFF"/>
      </w:rPr>
      <w:t>5</w:t>
    </w:r>
  </w:p>
  <w:p w14:paraId="5AC1769D" w14:textId="7560441D" w:rsidR="004E60D2" w:rsidRPr="003A5F6E" w:rsidRDefault="004E60D2" w:rsidP="000710C1">
    <w:pPr>
      <w:jc w:val="right"/>
    </w:pPr>
    <w:r w:rsidRPr="003A5F6E">
      <w:rPr>
        <w:rStyle w:val="normaltextrun"/>
        <w:color w:val="001B4F"/>
        <w:sz w:val="16"/>
        <w:szCs w:val="16"/>
        <w:shd w:val="clear" w:color="auto" w:fill="FFFFFF"/>
      </w:rPr>
      <w:t>ESMA</w:t>
    </w:r>
    <w:r w:rsidR="00A4190A" w:rsidRPr="003A5F6E">
      <w:rPr>
        <w:rStyle w:val="normaltextrun"/>
        <w:color w:val="001B4F"/>
        <w:sz w:val="16"/>
        <w:szCs w:val="16"/>
        <w:shd w:val="clear" w:color="auto" w:fill="FFFFFF"/>
      </w:rPr>
      <w:t>91-1505572268-4396</w:t>
    </w:r>
  </w:p>
  <w:p w14:paraId="4AF05B1F" w14:textId="77777777" w:rsidR="004E60D2" w:rsidRPr="003A5F6E"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Pr="003A5F6E"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rsidRPr="003A5F6E" w14:paraId="36268B77" w14:textId="77777777" w:rsidTr="296079D6">
      <w:trPr>
        <w:trHeight w:val="300"/>
      </w:trPr>
      <w:tc>
        <w:tcPr>
          <w:tcW w:w="3135" w:type="dxa"/>
        </w:tcPr>
        <w:p w14:paraId="0EB5367C" w14:textId="4E34CFED" w:rsidR="296079D6" w:rsidRPr="003A5F6E" w:rsidRDefault="296079D6" w:rsidP="296079D6">
          <w:pPr>
            <w:pStyle w:val="Header"/>
            <w:ind w:left="-115"/>
            <w:jc w:val="left"/>
          </w:pPr>
        </w:p>
      </w:tc>
      <w:tc>
        <w:tcPr>
          <w:tcW w:w="3135" w:type="dxa"/>
        </w:tcPr>
        <w:p w14:paraId="0682432A" w14:textId="50492F17" w:rsidR="296079D6" w:rsidRPr="003A5F6E" w:rsidRDefault="296079D6" w:rsidP="296079D6">
          <w:pPr>
            <w:pStyle w:val="Header"/>
            <w:jc w:val="center"/>
          </w:pPr>
        </w:p>
      </w:tc>
      <w:tc>
        <w:tcPr>
          <w:tcW w:w="3135" w:type="dxa"/>
        </w:tcPr>
        <w:p w14:paraId="390C9734" w14:textId="5CD98D2D" w:rsidR="296079D6" w:rsidRPr="003A5F6E" w:rsidRDefault="296079D6" w:rsidP="296079D6">
          <w:pPr>
            <w:pStyle w:val="Header"/>
            <w:ind w:right="-115"/>
            <w:jc w:val="right"/>
          </w:pPr>
        </w:p>
      </w:tc>
    </w:tr>
  </w:tbl>
  <w:p w14:paraId="0B2F4F8F" w14:textId="20D35276" w:rsidR="296079D6" w:rsidRPr="003A5F6E" w:rsidRDefault="296079D6" w:rsidP="2960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3A5F6E" w:rsidRDefault="00F87468" w:rsidP="005C56D3">
    <w:pPr>
      <w:pStyle w:val="HeaderFoot"/>
    </w:pPr>
  </w:p>
  <w:p w14:paraId="3CAF3EB5" w14:textId="77777777" w:rsidR="00F87468" w:rsidRPr="003A5F6E" w:rsidRDefault="00F87468" w:rsidP="005C56D3">
    <w:pPr>
      <w:pStyle w:val="HeaderFoot"/>
    </w:pPr>
  </w:p>
  <w:p w14:paraId="30197A99" w14:textId="77777777" w:rsidR="00F87468" w:rsidRPr="003A5F6E" w:rsidRDefault="00F87468" w:rsidP="005C56D3">
    <w:pPr>
      <w:pStyle w:val="HeaderFoot"/>
    </w:pPr>
  </w:p>
  <w:p w14:paraId="5F3A9B98" w14:textId="77777777" w:rsidR="00F87468" w:rsidRPr="003A5F6E" w:rsidRDefault="00F87468" w:rsidP="005C56D3">
    <w:pPr>
      <w:pStyle w:val="HeaderFoot"/>
    </w:pPr>
  </w:p>
  <w:p w14:paraId="737551C9" w14:textId="77777777" w:rsidR="00F87468" w:rsidRPr="003A5F6E" w:rsidRDefault="00F87468" w:rsidP="005C56D3">
    <w:pPr>
      <w:pStyle w:val="HeaderFoot"/>
    </w:pPr>
  </w:p>
  <w:p w14:paraId="11604E2F" w14:textId="77777777" w:rsidR="00F87468" w:rsidRPr="003A5F6E" w:rsidRDefault="00F87468" w:rsidP="005C56D3">
    <w:pPr>
      <w:pStyle w:val="HeaderFoot"/>
    </w:pPr>
  </w:p>
  <w:p w14:paraId="50F72869" w14:textId="77777777" w:rsidR="00F87468" w:rsidRPr="003A5F6E" w:rsidRDefault="00F87468" w:rsidP="005C56D3">
    <w:pPr>
      <w:pStyle w:val="HeaderFoot"/>
    </w:pPr>
  </w:p>
  <w:p w14:paraId="1509E111" w14:textId="77777777" w:rsidR="00F87468" w:rsidRPr="003A5F6E" w:rsidRDefault="00F87468" w:rsidP="005C56D3">
    <w:pPr>
      <w:pStyle w:val="HeaderFoot"/>
    </w:pPr>
  </w:p>
  <w:p w14:paraId="63EDCD0F" w14:textId="77777777" w:rsidR="00F87468" w:rsidRPr="003A5F6E" w:rsidRDefault="00F87468" w:rsidP="005C56D3">
    <w:pPr>
      <w:pStyle w:val="HeaderFoot"/>
    </w:pPr>
  </w:p>
  <w:p w14:paraId="2A19075D" w14:textId="77777777" w:rsidR="00F87468" w:rsidRPr="003A5F6E" w:rsidRDefault="00F87468" w:rsidP="005C56D3">
    <w:pPr>
      <w:pStyle w:val="HeaderFoot"/>
    </w:pPr>
  </w:p>
  <w:p w14:paraId="29688AC5" w14:textId="77777777" w:rsidR="00F87468" w:rsidRPr="003A5F6E" w:rsidRDefault="00F87468" w:rsidP="005C56D3">
    <w:pPr>
      <w:pStyle w:val="HeaderFoot"/>
    </w:pPr>
  </w:p>
  <w:p w14:paraId="6A690643" w14:textId="77777777" w:rsidR="00F87468" w:rsidRPr="003A5F6E" w:rsidRDefault="00F87468" w:rsidP="005C56D3">
    <w:pPr>
      <w:pStyle w:val="HeaderFoot"/>
    </w:pPr>
  </w:p>
  <w:p w14:paraId="3E5C66CB" w14:textId="41E17AD8" w:rsidR="00F107EF" w:rsidRPr="003A5F6E" w:rsidRDefault="00F87468" w:rsidP="005C56D3">
    <w:pPr>
      <w:pStyle w:val="HeaderFoot"/>
    </w:pPr>
    <w:r w:rsidRPr="003A5F6E">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67946151" name="Picture 467946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rsidRPr="003A5F6E" w14:paraId="5F177A0B" w14:textId="77777777" w:rsidTr="296079D6">
      <w:trPr>
        <w:trHeight w:val="300"/>
      </w:trPr>
      <w:tc>
        <w:tcPr>
          <w:tcW w:w="3135" w:type="dxa"/>
        </w:tcPr>
        <w:p w14:paraId="336760F0" w14:textId="69B81E0B" w:rsidR="296079D6" w:rsidRPr="003A5F6E" w:rsidRDefault="296079D6" w:rsidP="296079D6">
          <w:pPr>
            <w:pStyle w:val="Header"/>
            <w:ind w:left="-115"/>
            <w:jc w:val="left"/>
          </w:pPr>
        </w:p>
      </w:tc>
      <w:tc>
        <w:tcPr>
          <w:tcW w:w="3135" w:type="dxa"/>
        </w:tcPr>
        <w:p w14:paraId="52F93C1D" w14:textId="138730E9" w:rsidR="296079D6" w:rsidRPr="003A5F6E" w:rsidRDefault="296079D6" w:rsidP="296079D6">
          <w:pPr>
            <w:pStyle w:val="Header"/>
            <w:jc w:val="center"/>
          </w:pPr>
        </w:p>
      </w:tc>
      <w:tc>
        <w:tcPr>
          <w:tcW w:w="3135" w:type="dxa"/>
        </w:tcPr>
        <w:p w14:paraId="4FD76FD1" w14:textId="7BFB4000" w:rsidR="296079D6" w:rsidRPr="003A5F6E" w:rsidRDefault="296079D6" w:rsidP="296079D6">
          <w:pPr>
            <w:pStyle w:val="Header"/>
            <w:ind w:right="-115"/>
            <w:jc w:val="right"/>
          </w:pPr>
        </w:p>
      </w:tc>
    </w:tr>
  </w:tbl>
  <w:p w14:paraId="6902044D" w14:textId="0EB4ACA7" w:rsidR="296079D6" w:rsidRPr="003A5F6E" w:rsidRDefault="296079D6" w:rsidP="2960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A92E59"/>
    <w:multiLevelType w:val="hybridMultilevel"/>
    <w:tmpl w:val="6D4C9ED8"/>
    <w:lvl w:ilvl="0" w:tplc="2000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AE02A0"/>
    <w:multiLevelType w:val="multilevel"/>
    <w:tmpl w:val="DB26E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8C96B1B"/>
    <w:multiLevelType w:val="multilevel"/>
    <w:tmpl w:val="5BA4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694FF5"/>
    <w:multiLevelType w:val="hybridMultilevel"/>
    <w:tmpl w:val="710EA824"/>
    <w:lvl w:ilvl="0" w:tplc="20000001">
      <w:start w:val="1"/>
      <w:numFmt w:val="bullet"/>
      <w:lvlText w:val=""/>
      <w:lvlJc w:val="left"/>
      <w:pPr>
        <w:ind w:left="836" w:hanging="360"/>
      </w:pPr>
      <w:rPr>
        <w:rFonts w:ascii="Symbol" w:hAnsi="Symbol" w:hint="default"/>
      </w:rPr>
    </w:lvl>
    <w:lvl w:ilvl="1" w:tplc="20000003">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15:restartNumberingAfterBreak="0">
    <w:nsid w:val="47250956"/>
    <w:multiLevelType w:val="hybridMultilevel"/>
    <w:tmpl w:val="7F80EA3A"/>
    <w:lvl w:ilvl="0" w:tplc="2000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DD06EEA"/>
    <w:multiLevelType w:val="multilevel"/>
    <w:tmpl w:val="ADB45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1"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3"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8"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8"/>
  </w:num>
  <w:num w:numId="2" w16cid:durableId="1769932826">
    <w:abstractNumId w:val="21"/>
  </w:num>
  <w:num w:numId="3" w16cid:durableId="550074866">
    <w:abstractNumId w:val="13"/>
  </w:num>
  <w:num w:numId="4" w16cid:durableId="1881627233">
    <w:abstractNumId w:val="28"/>
  </w:num>
  <w:num w:numId="5" w16cid:durableId="208225584">
    <w:abstractNumId w:val="0"/>
  </w:num>
  <w:num w:numId="6" w16cid:durableId="1787233265">
    <w:abstractNumId w:val="5"/>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5"/>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1"/>
  </w:num>
  <w:num w:numId="12" w16cid:durableId="1500659627">
    <w:abstractNumId w:val="34"/>
  </w:num>
  <w:num w:numId="13" w16cid:durableId="1879658227">
    <w:abstractNumId w:val="26"/>
  </w:num>
  <w:num w:numId="14" w16cid:durableId="1495758855">
    <w:abstractNumId w:val="11"/>
  </w:num>
  <w:num w:numId="15" w16cid:durableId="1186556611">
    <w:abstractNumId w:val="1"/>
  </w:num>
  <w:num w:numId="16" w16cid:durableId="679087124">
    <w:abstractNumId w:val="16"/>
  </w:num>
  <w:num w:numId="17" w16cid:durableId="1695498691">
    <w:abstractNumId w:val="17"/>
  </w:num>
  <w:num w:numId="18" w16cid:durableId="1042363640">
    <w:abstractNumId w:val="19"/>
  </w:num>
  <w:num w:numId="19" w16cid:durableId="820345968">
    <w:abstractNumId w:val="30"/>
  </w:num>
  <w:num w:numId="20" w16cid:durableId="1805388212">
    <w:abstractNumId w:val="39"/>
  </w:num>
  <w:num w:numId="21" w16cid:durableId="538709007">
    <w:abstractNumId w:val="29"/>
  </w:num>
  <w:num w:numId="22" w16cid:durableId="104540172">
    <w:abstractNumId w:val="10"/>
  </w:num>
  <w:num w:numId="23" w16cid:durableId="1824349076">
    <w:abstractNumId w:val="33"/>
  </w:num>
  <w:num w:numId="24" w16cid:durableId="672032853">
    <w:abstractNumId w:val="32"/>
  </w:num>
  <w:num w:numId="25" w16cid:durableId="48917541">
    <w:abstractNumId w:val="23"/>
  </w:num>
  <w:num w:numId="26" w16cid:durableId="978925443">
    <w:abstractNumId w:val="36"/>
  </w:num>
  <w:num w:numId="27" w16cid:durableId="1036613928">
    <w:abstractNumId w:val="41"/>
  </w:num>
  <w:num w:numId="28" w16cid:durableId="872039349">
    <w:abstractNumId w:val="7"/>
  </w:num>
  <w:num w:numId="29" w16cid:durableId="924530660">
    <w:abstractNumId w:val="4"/>
  </w:num>
  <w:num w:numId="30" w16cid:durableId="419180233">
    <w:abstractNumId w:val="25"/>
  </w:num>
  <w:num w:numId="31" w16cid:durableId="276761337">
    <w:abstractNumId w:val="24"/>
  </w:num>
  <w:num w:numId="32" w16cid:durableId="1166238383">
    <w:abstractNumId w:val="38"/>
  </w:num>
  <w:num w:numId="33" w16cid:durableId="2076850202">
    <w:abstractNumId w:val="37"/>
  </w:num>
  <w:num w:numId="34" w16cid:durableId="469176496">
    <w:abstractNumId w:val="14"/>
  </w:num>
  <w:num w:numId="35" w16cid:durableId="674843309">
    <w:abstractNumId w:val="20"/>
  </w:num>
  <w:num w:numId="36" w16cid:durableId="1954971501">
    <w:abstractNumId w:val="42"/>
  </w:num>
  <w:num w:numId="37" w16cid:durableId="2118526464">
    <w:abstractNumId w:val="3"/>
  </w:num>
  <w:num w:numId="38" w16cid:durableId="2011325371">
    <w:abstractNumId w:val="9"/>
  </w:num>
  <w:num w:numId="39" w16cid:durableId="1103380425">
    <w:abstractNumId w:val="2"/>
  </w:num>
  <w:num w:numId="40" w16cid:durableId="1148519441">
    <w:abstractNumId w:val="12"/>
  </w:num>
  <w:num w:numId="41" w16cid:durableId="392628409">
    <w:abstractNumId w:val="27"/>
  </w:num>
  <w:num w:numId="42" w16cid:durableId="1253247921">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0955"/>
    <w:rsid w:val="00001490"/>
    <w:rsid w:val="00002232"/>
    <w:rsid w:val="000022D0"/>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3CD6"/>
    <w:rsid w:val="00034285"/>
    <w:rsid w:val="000344D6"/>
    <w:rsid w:val="00034960"/>
    <w:rsid w:val="00036028"/>
    <w:rsid w:val="00036E26"/>
    <w:rsid w:val="00036FAE"/>
    <w:rsid w:val="00040CC5"/>
    <w:rsid w:val="00041858"/>
    <w:rsid w:val="0004389E"/>
    <w:rsid w:val="00045CA6"/>
    <w:rsid w:val="000463A6"/>
    <w:rsid w:val="00046CC9"/>
    <w:rsid w:val="00046E91"/>
    <w:rsid w:val="00047BE6"/>
    <w:rsid w:val="000502FE"/>
    <w:rsid w:val="0005126D"/>
    <w:rsid w:val="00051992"/>
    <w:rsid w:val="00051E9A"/>
    <w:rsid w:val="000521A7"/>
    <w:rsid w:val="00052B8C"/>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76D"/>
    <w:rsid w:val="00081CEB"/>
    <w:rsid w:val="00081E60"/>
    <w:rsid w:val="00082739"/>
    <w:rsid w:val="00082D8E"/>
    <w:rsid w:val="00082E31"/>
    <w:rsid w:val="00083AA3"/>
    <w:rsid w:val="00085947"/>
    <w:rsid w:val="000868FE"/>
    <w:rsid w:val="000878D1"/>
    <w:rsid w:val="00090F4B"/>
    <w:rsid w:val="000921AE"/>
    <w:rsid w:val="000921D7"/>
    <w:rsid w:val="000925FF"/>
    <w:rsid w:val="000932E0"/>
    <w:rsid w:val="00094853"/>
    <w:rsid w:val="00094C4C"/>
    <w:rsid w:val="0009544D"/>
    <w:rsid w:val="00096762"/>
    <w:rsid w:val="000969C8"/>
    <w:rsid w:val="000970C9"/>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6833"/>
    <w:rsid w:val="000F7120"/>
    <w:rsid w:val="000F7399"/>
    <w:rsid w:val="00101BF1"/>
    <w:rsid w:val="001027F1"/>
    <w:rsid w:val="00104E00"/>
    <w:rsid w:val="00104F2E"/>
    <w:rsid w:val="00106DFB"/>
    <w:rsid w:val="001072DD"/>
    <w:rsid w:val="001101E8"/>
    <w:rsid w:val="00110D7A"/>
    <w:rsid w:val="00111464"/>
    <w:rsid w:val="0011167D"/>
    <w:rsid w:val="00112892"/>
    <w:rsid w:val="00112E48"/>
    <w:rsid w:val="001130EA"/>
    <w:rsid w:val="001138E8"/>
    <w:rsid w:val="00114259"/>
    <w:rsid w:val="00116415"/>
    <w:rsid w:val="001165DD"/>
    <w:rsid w:val="001168B2"/>
    <w:rsid w:val="00117C20"/>
    <w:rsid w:val="00120F0E"/>
    <w:rsid w:val="00121A5D"/>
    <w:rsid w:val="00121BED"/>
    <w:rsid w:val="00122CB8"/>
    <w:rsid w:val="00123726"/>
    <w:rsid w:val="00123D39"/>
    <w:rsid w:val="001244CD"/>
    <w:rsid w:val="0012566F"/>
    <w:rsid w:val="001262B1"/>
    <w:rsid w:val="00130F41"/>
    <w:rsid w:val="00130FAF"/>
    <w:rsid w:val="00135DC5"/>
    <w:rsid w:val="00135F2B"/>
    <w:rsid w:val="001372DD"/>
    <w:rsid w:val="001405BA"/>
    <w:rsid w:val="00141497"/>
    <w:rsid w:val="0014253A"/>
    <w:rsid w:val="001425C8"/>
    <w:rsid w:val="001431AE"/>
    <w:rsid w:val="00143839"/>
    <w:rsid w:val="00143B87"/>
    <w:rsid w:val="001459E3"/>
    <w:rsid w:val="00146A0B"/>
    <w:rsid w:val="00146CE6"/>
    <w:rsid w:val="0014761E"/>
    <w:rsid w:val="0015061C"/>
    <w:rsid w:val="00150E58"/>
    <w:rsid w:val="00151907"/>
    <w:rsid w:val="001544C8"/>
    <w:rsid w:val="00154585"/>
    <w:rsid w:val="00155FAB"/>
    <w:rsid w:val="001567A1"/>
    <w:rsid w:val="001567EC"/>
    <w:rsid w:val="00156857"/>
    <w:rsid w:val="00157BC9"/>
    <w:rsid w:val="00157E79"/>
    <w:rsid w:val="00157EED"/>
    <w:rsid w:val="0016087A"/>
    <w:rsid w:val="00160A5C"/>
    <w:rsid w:val="001613EC"/>
    <w:rsid w:val="00161583"/>
    <w:rsid w:val="0016358A"/>
    <w:rsid w:val="001638D4"/>
    <w:rsid w:val="00164664"/>
    <w:rsid w:val="00164F15"/>
    <w:rsid w:val="001651A4"/>
    <w:rsid w:val="0016552B"/>
    <w:rsid w:val="00166B04"/>
    <w:rsid w:val="001670A6"/>
    <w:rsid w:val="001701FA"/>
    <w:rsid w:val="00171183"/>
    <w:rsid w:val="001725A5"/>
    <w:rsid w:val="00172681"/>
    <w:rsid w:val="0017277A"/>
    <w:rsid w:val="0017312F"/>
    <w:rsid w:val="00173AC7"/>
    <w:rsid w:val="001745D7"/>
    <w:rsid w:val="00175754"/>
    <w:rsid w:val="0017605E"/>
    <w:rsid w:val="00176982"/>
    <w:rsid w:val="0017701C"/>
    <w:rsid w:val="00181264"/>
    <w:rsid w:val="00181BD1"/>
    <w:rsid w:val="0018204A"/>
    <w:rsid w:val="00182711"/>
    <w:rsid w:val="00182F7C"/>
    <w:rsid w:val="001843B5"/>
    <w:rsid w:val="00186829"/>
    <w:rsid w:val="001868CA"/>
    <w:rsid w:val="00187304"/>
    <w:rsid w:val="001875BE"/>
    <w:rsid w:val="0019017A"/>
    <w:rsid w:val="00190B8C"/>
    <w:rsid w:val="00190FF8"/>
    <w:rsid w:val="00191EC0"/>
    <w:rsid w:val="0019311A"/>
    <w:rsid w:val="0019508A"/>
    <w:rsid w:val="001960D8"/>
    <w:rsid w:val="001A1642"/>
    <w:rsid w:val="001A2316"/>
    <w:rsid w:val="001A2648"/>
    <w:rsid w:val="001A371B"/>
    <w:rsid w:val="001A4766"/>
    <w:rsid w:val="001A6A0D"/>
    <w:rsid w:val="001A6C51"/>
    <w:rsid w:val="001A6FAA"/>
    <w:rsid w:val="001A7D73"/>
    <w:rsid w:val="001B0363"/>
    <w:rsid w:val="001B1355"/>
    <w:rsid w:val="001B2E84"/>
    <w:rsid w:val="001B2FC9"/>
    <w:rsid w:val="001B3138"/>
    <w:rsid w:val="001B3EFF"/>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39A5"/>
    <w:rsid w:val="001E407D"/>
    <w:rsid w:val="001E40FB"/>
    <w:rsid w:val="001E415D"/>
    <w:rsid w:val="001E66EC"/>
    <w:rsid w:val="001E68C5"/>
    <w:rsid w:val="001E6BFC"/>
    <w:rsid w:val="001F0F63"/>
    <w:rsid w:val="001F3996"/>
    <w:rsid w:val="001F44A4"/>
    <w:rsid w:val="001F485B"/>
    <w:rsid w:val="001F579D"/>
    <w:rsid w:val="001F5A95"/>
    <w:rsid w:val="001F65EF"/>
    <w:rsid w:val="001F697B"/>
    <w:rsid w:val="002005A6"/>
    <w:rsid w:val="00202C1A"/>
    <w:rsid w:val="002049FC"/>
    <w:rsid w:val="00204CBC"/>
    <w:rsid w:val="00204DF7"/>
    <w:rsid w:val="002051F1"/>
    <w:rsid w:val="00205D82"/>
    <w:rsid w:val="002067BA"/>
    <w:rsid w:val="0021058D"/>
    <w:rsid w:val="00211601"/>
    <w:rsid w:val="00211E2F"/>
    <w:rsid w:val="00211E9E"/>
    <w:rsid w:val="00214FB4"/>
    <w:rsid w:val="00215940"/>
    <w:rsid w:val="00215A18"/>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609"/>
    <w:rsid w:val="00245FB4"/>
    <w:rsid w:val="00250898"/>
    <w:rsid w:val="00251EA9"/>
    <w:rsid w:val="00252843"/>
    <w:rsid w:val="002543F8"/>
    <w:rsid w:val="002551A4"/>
    <w:rsid w:val="002559F3"/>
    <w:rsid w:val="00255A85"/>
    <w:rsid w:val="00256DFE"/>
    <w:rsid w:val="00261869"/>
    <w:rsid w:val="00261D56"/>
    <w:rsid w:val="00261FD3"/>
    <w:rsid w:val="00263505"/>
    <w:rsid w:val="00264077"/>
    <w:rsid w:val="002648CE"/>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6DF6"/>
    <w:rsid w:val="00287BBB"/>
    <w:rsid w:val="00287E3B"/>
    <w:rsid w:val="00290638"/>
    <w:rsid w:val="00291763"/>
    <w:rsid w:val="00291D80"/>
    <w:rsid w:val="00292E82"/>
    <w:rsid w:val="00293156"/>
    <w:rsid w:val="00293867"/>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0C79"/>
    <w:rsid w:val="002B1FEF"/>
    <w:rsid w:val="002B2DF8"/>
    <w:rsid w:val="002B3473"/>
    <w:rsid w:val="002B354F"/>
    <w:rsid w:val="002B3614"/>
    <w:rsid w:val="002B45D1"/>
    <w:rsid w:val="002B47D4"/>
    <w:rsid w:val="002B4ED8"/>
    <w:rsid w:val="002B4FAA"/>
    <w:rsid w:val="002B52C2"/>
    <w:rsid w:val="002B7656"/>
    <w:rsid w:val="002C0642"/>
    <w:rsid w:val="002C1492"/>
    <w:rsid w:val="002C1E8B"/>
    <w:rsid w:val="002C2EFE"/>
    <w:rsid w:val="002C53AA"/>
    <w:rsid w:val="002C5B2D"/>
    <w:rsid w:val="002C6275"/>
    <w:rsid w:val="002C6AF9"/>
    <w:rsid w:val="002C7DFC"/>
    <w:rsid w:val="002D08B8"/>
    <w:rsid w:val="002D14F3"/>
    <w:rsid w:val="002D16E4"/>
    <w:rsid w:val="002D2FEF"/>
    <w:rsid w:val="002D36A3"/>
    <w:rsid w:val="002D36C2"/>
    <w:rsid w:val="002D3B05"/>
    <w:rsid w:val="002D3FCB"/>
    <w:rsid w:val="002D4FEF"/>
    <w:rsid w:val="002D502D"/>
    <w:rsid w:val="002D63F5"/>
    <w:rsid w:val="002D6E1A"/>
    <w:rsid w:val="002E036D"/>
    <w:rsid w:val="002E0E76"/>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4F0"/>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5EB1"/>
    <w:rsid w:val="00316E7D"/>
    <w:rsid w:val="00317FC8"/>
    <w:rsid w:val="0032087C"/>
    <w:rsid w:val="00322183"/>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45B4"/>
    <w:rsid w:val="00345968"/>
    <w:rsid w:val="00345B34"/>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B0B"/>
    <w:rsid w:val="00372F02"/>
    <w:rsid w:val="00373729"/>
    <w:rsid w:val="00373C91"/>
    <w:rsid w:val="0037435E"/>
    <w:rsid w:val="003748F0"/>
    <w:rsid w:val="003755C6"/>
    <w:rsid w:val="00375AEF"/>
    <w:rsid w:val="00376367"/>
    <w:rsid w:val="00376B02"/>
    <w:rsid w:val="0037733A"/>
    <w:rsid w:val="003776DC"/>
    <w:rsid w:val="003779C1"/>
    <w:rsid w:val="00380F40"/>
    <w:rsid w:val="00380FEC"/>
    <w:rsid w:val="00381226"/>
    <w:rsid w:val="00381B1B"/>
    <w:rsid w:val="00381FF6"/>
    <w:rsid w:val="00383D7D"/>
    <w:rsid w:val="00384CCE"/>
    <w:rsid w:val="003865E5"/>
    <w:rsid w:val="003926C1"/>
    <w:rsid w:val="00392900"/>
    <w:rsid w:val="00393357"/>
    <w:rsid w:val="00395008"/>
    <w:rsid w:val="00395E7B"/>
    <w:rsid w:val="00395F4C"/>
    <w:rsid w:val="003965C7"/>
    <w:rsid w:val="003A4556"/>
    <w:rsid w:val="003A51C5"/>
    <w:rsid w:val="003A5A73"/>
    <w:rsid w:val="003A5DAC"/>
    <w:rsid w:val="003A5F6E"/>
    <w:rsid w:val="003A6591"/>
    <w:rsid w:val="003A6E9A"/>
    <w:rsid w:val="003B08C8"/>
    <w:rsid w:val="003B2567"/>
    <w:rsid w:val="003B381A"/>
    <w:rsid w:val="003B46CC"/>
    <w:rsid w:val="003B4976"/>
    <w:rsid w:val="003B4B3F"/>
    <w:rsid w:val="003B6258"/>
    <w:rsid w:val="003B7A99"/>
    <w:rsid w:val="003B7E82"/>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2D58"/>
    <w:rsid w:val="003E3ACA"/>
    <w:rsid w:val="003E50EA"/>
    <w:rsid w:val="003E68C7"/>
    <w:rsid w:val="003E7313"/>
    <w:rsid w:val="003E79B0"/>
    <w:rsid w:val="003F0403"/>
    <w:rsid w:val="003F1094"/>
    <w:rsid w:val="003F2E45"/>
    <w:rsid w:val="003F3EFE"/>
    <w:rsid w:val="003F40B8"/>
    <w:rsid w:val="003F5C06"/>
    <w:rsid w:val="003F646F"/>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168"/>
    <w:rsid w:val="0042739E"/>
    <w:rsid w:val="00427D52"/>
    <w:rsid w:val="00430412"/>
    <w:rsid w:val="00430497"/>
    <w:rsid w:val="004307B8"/>
    <w:rsid w:val="0043173B"/>
    <w:rsid w:val="00431B0A"/>
    <w:rsid w:val="00431DA4"/>
    <w:rsid w:val="00432A91"/>
    <w:rsid w:val="004332A4"/>
    <w:rsid w:val="0043453F"/>
    <w:rsid w:val="00434A74"/>
    <w:rsid w:val="004350F4"/>
    <w:rsid w:val="0043593C"/>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55B20"/>
    <w:rsid w:val="00460905"/>
    <w:rsid w:val="00461E35"/>
    <w:rsid w:val="004621DB"/>
    <w:rsid w:val="004634A7"/>
    <w:rsid w:val="0046354A"/>
    <w:rsid w:val="00463787"/>
    <w:rsid w:val="00466926"/>
    <w:rsid w:val="00466FDA"/>
    <w:rsid w:val="004671D0"/>
    <w:rsid w:val="004674D1"/>
    <w:rsid w:val="00470149"/>
    <w:rsid w:val="00470773"/>
    <w:rsid w:val="00471FF9"/>
    <w:rsid w:val="004732C0"/>
    <w:rsid w:val="00473E74"/>
    <w:rsid w:val="00473FEF"/>
    <w:rsid w:val="00475B8E"/>
    <w:rsid w:val="00476DE1"/>
    <w:rsid w:val="00480117"/>
    <w:rsid w:val="0048104E"/>
    <w:rsid w:val="00481194"/>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97F42"/>
    <w:rsid w:val="004A00E5"/>
    <w:rsid w:val="004A01A7"/>
    <w:rsid w:val="004A0D09"/>
    <w:rsid w:val="004A116E"/>
    <w:rsid w:val="004A357F"/>
    <w:rsid w:val="004A3DAD"/>
    <w:rsid w:val="004A7047"/>
    <w:rsid w:val="004B0335"/>
    <w:rsid w:val="004B0F1C"/>
    <w:rsid w:val="004B1E61"/>
    <w:rsid w:val="004B21AB"/>
    <w:rsid w:val="004B59E0"/>
    <w:rsid w:val="004B667B"/>
    <w:rsid w:val="004B71C7"/>
    <w:rsid w:val="004B799B"/>
    <w:rsid w:val="004C03AA"/>
    <w:rsid w:val="004C0B9A"/>
    <w:rsid w:val="004C14E7"/>
    <w:rsid w:val="004C1D89"/>
    <w:rsid w:val="004C1EF3"/>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091"/>
    <w:rsid w:val="004E76A1"/>
    <w:rsid w:val="004F05DE"/>
    <w:rsid w:val="004F247C"/>
    <w:rsid w:val="004F2C2B"/>
    <w:rsid w:val="004F5D2A"/>
    <w:rsid w:val="004F6376"/>
    <w:rsid w:val="004F6A93"/>
    <w:rsid w:val="004F6F14"/>
    <w:rsid w:val="004F728D"/>
    <w:rsid w:val="004F76D9"/>
    <w:rsid w:val="004F79A6"/>
    <w:rsid w:val="00501A44"/>
    <w:rsid w:val="00501BF5"/>
    <w:rsid w:val="00501D8B"/>
    <w:rsid w:val="0050385E"/>
    <w:rsid w:val="00503A3E"/>
    <w:rsid w:val="00503F59"/>
    <w:rsid w:val="005049A7"/>
    <w:rsid w:val="005053B2"/>
    <w:rsid w:val="00506331"/>
    <w:rsid w:val="00506C34"/>
    <w:rsid w:val="00507D11"/>
    <w:rsid w:val="00510662"/>
    <w:rsid w:val="005109B7"/>
    <w:rsid w:val="00510A19"/>
    <w:rsid w:val="00510F75"/>
    <w:rsid w:val="00511AAB"/>
    <w:rsid w:val="00511CAD"/>
    <w:rsid w:val="00514D10"/>
    <w:rsid w:val="00516783"/>
    <w:rsid w:val="005171FB"/>
    <w:rsid w:val="00517886"/>
    <w:rsid w:val="00517EF8"/>
    <w:rsid w:val="00520083"/>
    <w:rsid w:val="0052029E"/>
    <w:rsid w:val="0052076A"/>
    <w:rsid w:val="00520A2C"/>
    <w:rsid w:val="00520DE8"/>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34D"/>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5F7"/>
    <w:rsid w:val="0057163A"/>
    <w:rsid w:val="0057174D"/>
    <w:rsid w:val="00573569"/>
    <w:rsid w:val="00573871"/>
    <w:rsid w:val="0057389E"/>
    <w:rsid w:val="00574A6C"/>
    <w:rsid w:val="005765C0"/>
    <w:rsid w:val="00576947"/>
    <w:rsid w:val="005778DE"/>
    <w:rsid w:val="00580B3F"/>
    <w:rsid w:val="005825F2"/>
    <w:rsid w:val="0058344D"/>
    <w:rsid w:val="00583885"/>
    <w:rsid w:val="005860AF"/>
    <w:rsid w:val="00587C3B"/>
    <w:rsid w:val="00587F1D"/>
    <w:rsid w:val="00590348"/>
    <w:rsid w:val="00591161"/>
    <w:rsid w:val="00592318"/>
    <w:rsid w:val="00593133"/>
    <w:rsid w:val="00594323"/>
    <w:rsid w:val="005943E1"/>
    <w:rsid w:val="00594F81"/>
    <w:rsid w:val="0059575D"/>
    <w:rsid w:val="00596825"/>
    <w:rsid w:val="005A06A0"/>
    <w:rsid w:val="005A150A"/>
    <w:rsid w:val="005A2B3E"/>
    <w:rsid w:val="005A3644"/>
    <w:rsid w:val="005A4087"/>
    <w:rsid w:val="005A4533"/>
    <w:rsid w:val="005A4B18"/>
    <w:rsid w:val="005A537E"/>
    <w:rsid w:val="005A5736"/>
    <w:rsid w:val="005A6F43"/>
    <w:rsid w:val="005A767D"/>
    <w:rsid w:val="005A775C"/>
    <w:rsid w:val="005A78FB"/>
    <w:rsid w:val="005B00F1"/>
    <w:rsid w:val="005B0C13"/>
    <w:rsid w:val="005B0CE7"/>
    <w:rsid w:val="005B10E2"/>
    <w:rsid w:val="005B1803"/>
    <w:rsid w:val="005B1D9A"/>
    <w:rsid w:val="005B277C"/>
    <w:rsid w:val="005B4079"/>
    <w:rsid w:val="005B428E"/>
    <w:rsid w:val="005B4F65"/>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D76E6"/>
    <w:rsid w:val="005D7AC9"/>
    <w:rsid w:val="005E0481"/>
    <w:rsid w:val="005E10BF"/>
    <w:rsid w:val="005E1834"/>
    <w:rsid w:val="005E4682"/>
    <w:rsid w:val="005E49E5"/>
    <w:rsid w:val="005E4E00"/>
    <w:rsid w:val="005E5481"/>
    <w:rsid w:val="005E55E4"/>
    <w:rsid w:val="005E5AF6"/>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3217"/>
    <w:rsid w:val="00604192"/>
    <w:rsid w:val="00605531"/>
    <w:rsid w:val="00605748"/>
    <w:rsid w:val="006057C5"/>
    <w:rsid w:val="0060616E"/>
    <w:rsid w:val="00606240"/>
    <w:rsid w:val="0060674A"/>
    <w:rsid w:val="00606998"/>
    <w:rsid w:val="00606F77"/>
    <w:rsid w:val="00607832"/>
    <w:rsid w:val="0060784B"/>
    <w:rsid w:val="00610254"/>
    <w:rsid w:val="006105FB"/>
    <w:rsid w:val="00610766"/>
    <w:rsid w:val="00610F94"/>
    <w:rsid w:val="00611293"/>
    <w:rsid w:val="0061135E"/>
    <w:rsid w:val="0061263A"/>
    <w:rsid w:val="00612C41"/>
    <w:rsid w:val="00613629"/>
    <w:rsid w:val="006145DE"/>
    <w:rsid w:val="0061478E"/>
    <w:rsid w:val="00614F25"/>
    <w:rsid w:val="00615173"/>
    <w:rsid w:val="00615600"/>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63F"/>
    <w:rsid w:val="00640DCD"/>
    <w:rsid w:val="00641DC3"/>
    <w:rsid w:val="00642972"/>
    <w:rsid w:val="006430DA"/>
    <w:rsid w:val="00644F4D"/>
    <w:rsid w:val="006469B1"/>
    <w:rsid w:val="00646C0D"/>
    <w:rsid w:val="00646C30"/>
    <w:rsid w:val="006476F7"/>
    <w:rsid w:val="0064779E"/>
    <w:rsid w:val="006479A9"/>
    <w:rsid w:val="006501FA"/>
    <w:rsid w:val="006509B0"/>
    <w:rsid w:val="006521F3"/>
    <w:rsid w:val="006524D5"/>
    <w:rsid w:val="00652BBD"/>
    <w:rsid w:val="00653633"/>
    <w:rsid w:val="00653F69"/>
    <w:rsid w:val="0065430D"/>
    <w:rsid w:val="00654936"/>
    <w:rsid w:val="00655485"/>
    <w:rsid w:val="006558B3"/>
    <w:rsid w:val="00660BF0"/>
    <w:rsid w:val="0066189C"/>
    <w:rsid w:val="006630CF"/>
    <w:rsid w:val="00663EFF"/>
    <w:rsid w:val="006643A2"/>
    <w:rsid w:val="00664FFB"/>
    <w:rsid w:val="00665F4A"/>
    <w:rsid w:val="00666F74"/>
    <w:rsid w:val="00667FEA"/>
    <w:rsid w:val="006710D2"/>
    <w:rsid w:val="00671A8B"/>
    <w:rsid w:val="00671F53"/>
    <w:rsid w:val="006725A0"/>
    <w:rsid w:val="00674628"/>
    <w:rsid w:val="0067555E"/>
    <w:rsid w:val="00677FAD"/>
    <w:rsid w:val="00680249"/>
    <w:rsid w:val="006802DE"/>
    <w:rsid w:val="0068032D"/>
    <w:rsid w:val="0068068C"/>
    <w:rsid w:val="00681115"/>
    <w:rsid w:val="00683920"/>
    <w:rsid w:val="00685147"/>
    <w:rsid w:val="00685653"/>
    <w:rsid w:val="0068590D"/>
    <w:rsid w:val="00685A89"/>
    <w:rsid w:val="006861B3"/>
    <w:rsid w:val="00686FA2"/>
    <w:rsid w:val="006870C5"/>
    <w:rsid w:val="006904CF"/>
    <w:rsid w:val="006906F9"/>
    <w:rsid w:val="00690F0E"/>
    <w:rsid w:val="006911C0"/>
    <w:rsid w:val="00691B7C"/>
    <w:rsid w:val="00692ADF"/>
    <w:rsid w:val="00693907"/>
    <w:rsid w:val="00694B73"/>
    <w:rsid w:val="00694DF2"/>
    <w:rsid w:val="00695F80"/>
    <w:rsid w:val="006966CD"/>
    <w:rsid w:val="00696735"/>
    <w:rsid w:val="0069780E"/>
    <w:rsid w:val="006A2CA2"/>
    <w:rsid w:val="006A6B4B"/>
    <w:rsid w:val="006B2D40"/>
    <w:rsid w:val="006B34DF"/>
    <w:rsid w:val="006B39B2"/>
    <w:rsid w:val="006B3AF9"/>
    <w:rsid w:val="006B45A0"/>
    <w:rsid w:val="006B5668"/>
    <w:rsid w:val="006B5DF1"/>
    <w:rsid w:val="006B5F71"/>
    <w:rsid w:val="006B6E44"/>
    <w:rsid w:val="006B7059"/>
    <w:rsid w:val="006B7287"/>
    <w:rsid w:val="006B7F2E"/>
    <w:rsid w:val="006C0BF8"/>
    <w:rsid w:val="006C0C4B"/>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2E82"/>
    <w:rsid w:val="007133E4"/>
    <w:rsid w:val="00713788"/>
    <w:rsid w:val="00713940"/>
    <w:rsid w:val="007151A2"/>
    <w:rsid w:val="00716774"/>
    <w:rsid w:val="0071740A"/>
    <w:rsid w:val="007209DD"/>
    <w:rsid w:val="00722E49"/>
    <w:rsid w:val="00722FF5"/>
    <w:rsid w:val="00723A08"/>
    <w:rsid w:val="00723B5C"/>
    <w:rsid w:val="00724391"/>
    <w:rsid w:val="00724C18"/>
    <w:rsid w:val="00724D08"/>
    <w:rsid w:val="00725FB1"/>
    <w:rsid w:val="00726042"/>
    <w:rsid w:val="007263B2"/>
    <w:rsid w:val="0072648F"/>
    <w:rsid w:val="00726630"/>
    <w:rsid w:val="0072684E"/>
    <w:rsid w:val="00727F73"/>
    <w:rsid w:val="00730705"/>
    <w:rsid w:val="00730944"/>
    <w:rsid w:val="007309A0"/>
    <w:rsid w:val="00731475"/>
    <w:rsid w:val="0073248E"/>
    <w:rsid w:val="00733EE9"/>
    <w:rsid w:val="00735B8E"/>
    <w:rsid w:val="00736651"/>
    <w:rsid w:val="0073673C"/>
    <w:rsid w:val="00736935"/>
    <w:rsid w:val="007378EC"/>
    <w:rsid w:val="00737DD9"/>
    <w:rsid w:val="00742EA8"/>
    <w:rsid w:val="00743DE7"/>
    <w:rsid w:val="0074509E"/>
    <w:rsid w:val="00745B9F"/>
    <w:rsid w:val="0074726F"/>
    <w:rsid w:val="00752D4F"/>
    <w:rsid w:val="0075409F"/>
    <w:rsid w:val="0075525A"/>
    <w:rsid w:val="00755609"/>
    <w:rsid w:val="00755986"/>
    <w:rsid w:val="00755C86"/>
    <w:rsid w:val="00755E19"/>
    <w:rsid w:val="00756BFF"/>
    <w:rsid w:val="00756D77"/>
    <w:rsid w:val="00756DFC"/>
    <w:rsid w:val="00760041"/>
    <w:rsid w:val="007605C7"/>
    <w:rsid w:val="00760B08"/>
    <w:rsid w:val="00760EDA"/>
    <w:rsid w:val="00761F4E"/>
    <w:rsid w:val="00762150"/>
    <w:rsid w:val="00762621"/>
    <w:rsid w:val="00763F36"/>
    <w:rsid w:val="007648A0"/>
    <w:rsid w:val="00766F4D"/>
    <w:rsid w:val="007671CA"/>
    <w:rsid w:val="00770268"/>
    <w:rsid w:val="007706B9"/>
    <w:rsid w:val="007707ED"/>
    <w:rsid w:val="00771C3B"/>
    <w:rsid w:val="007726F9"/>
    <w:rsid w:val="00773B94"/>
    <w:rsid w:val="00773C65"/>
    <w:rsid w:val="00775937"/>
    <w:rsid w:val="00777046"/>
    <w:rsid w:val="007770DA"/>
    <w:rsid w:val="007805B9"/>
    <w:rsid w:val="00780C3A"/>
    <w:rsid w:val="007834A1"/>
    <w:rsid w:val="007845F3"/>
    <w:rsid w:val="00790DB5"/>
    <w:rsid w:val="007910D9"/>
    <w:rsid w:val="00791EB4"/>
    <w:rsid w:val="007928F1"/>
    <w:rsid w:val="0079357D"/>
    <w:rsid w:val="007937CC"/>
    <w:rsid w:val="00793A31"/>
    <w:rsid w:val="0079485D"/>
    <w:rsid w:val="00794979"/>
    <w:rsid w:val="007956B7"/>
    <w:rsid w:val="00795F1A"/>
    <w:rsid w:val="00796EDE"/>
    <w:rsid w:val="00797297"/>
    <w:rsid w:val="007974B3"/>
    <w:rsid w:val="00797875"/>
    <w:rsid w:val="007A0659"/>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3C3F"/>
    <w:rsid w:val="007B3D9A"/>
    <w:rsid w:val="007B43E8"/>
    <w:rsid w:val="007B4740"/>
    <w:rsid w:val="007B502C"/>
    <w:rsid w:val="007B5F3B"/>
    <w:rsid w:val="007C02B0"/>
    <w:rsid w:val="007C063E"/>
    <w:rsid w:val="007C1310"/>
    <w:rsid w:val="007C1419"/>
    <w:rsid w:val="007C1901"/>
    <w:rsid w:val="007C49C0"/>
    <w:rsid w:val="007C55C1"/>
    <w:rsid w:val="007C5738"/>
    <w:rsid w:val="007C5772"/>
    <w:rsid w:val="007C5962"/>
    <w:rsid w:val="007C5AC3"/>
    <w:rsid w:val="007C5BD5"/>
    <w:rsid w:val="007C7233"/>
    <w:rsid w:val="007D0867"/>
    <w:rsid w:val="007D10EE"/>
    <w:rsid w:val="007D1193"/>
    <w:rsid w:val="007D21D5"/>
    <w:rsid w:val="007D39D4"/>
    <w:rsid w:val="007D3E8D"/>
    <w:rsid w:val="007D5915"/>
    <w:rsid w:val="007D5B4F"/>
    <w:rsid w:val="007D5C30"/>
    <w:rsid w:val="007D651F"/>
    <w:rsid w:val="007E0660"/>
    <w:rsid w:val="007E0A54"/>
    <w:rsid w:val="007E1411"/>
    <w:rsid w:val="007E1882"/>
    <w:rsid w:val="007E1BB4"/>
    <w:rsid w:val="007E2077"/>
    <w:rsid w:val="007E3514"/>
    <w:rsid w:val="007E4207"/>
    <w:rsid w:val="007E4AAA"/>
    <w:rsid w:val="007E4BD2"/>
    <w:rsid w:val="007E4C29"/>
    <w:rsid w:val="007E4F1E"/>
    <w:rsid w:val="007E5E44"/>
    <w:rsid w:val="007F0DDA"/>
    <w:rsid w:val="007F1939"/>
    <w:rsid w:val="007F1F44"/>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19F"/>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6D81"/>
    <w:rsid w:val="00827439"/>
    <w:rsid w:val="00827C79"/>
    <w:rsid w:val="00827C9D"/>
    <w:rsid w:val="0083003F"/>
    <w:rsid w:val="00831077"/>
    <w:rsid w:val="00831A4A"/>
    <w:rsid w:val="00832134"/>
    <w:rsid w:val="0083219E"/>
    <w:rsid w:val="008324B3"/>
    <w:rsid w:val="008336D5"/>
    <w:rsid w:val="00834008"/>
    <w:rsid w:val="0083497C"/>
    <w:rsid w:val="008352A6"/>
    <w:rsid w:val="00835B5B"/>
    <w:rsid w:val="00835CC2"/>
    <w:rsid w:val="008367AE"/>
    <w:rsid w:val="00836E50"/>
    <w:rsid w:val="00840477"/>
    <w:rsid w:val="0084121D"/>
    <w:rsid w:val="00841456"/>
    <w:rsid w:val="008418E3"/>
    <w:rsid w:val="008419C1"/>
    <w:rsid w:val="00842B63"/>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0E82"/>
    <w:rsid w:val="00862DDD"/>
    <w:rsid w:val="0086312D"/>
    <w:rsid w:val="0086326D"/>
    <w:rsid w:val="00863CC1"/>
    <w:rsid w:val="00865B01"/>
    <w:rsid w:val="00866D7A"/>
    <w:rsid w:val="00866EE3"/>
    <w:rsid w:val="00871F04"/>
    <w:rsid w:val="0087411D"/>
    <w:rsid w:val="008746C1"/>
    <w:rsid w:val="00880224"/>
    <w:rsid w:val="0088244C"/>
    <w:rsid w:val="00883367"/>
    <w:rsid w:val="00884C47"/>
    <w:rsid w:val="00885510"/>
    <w:rsid w:val="00885E6F"/>
    <w:rsid w:val="008861AC"/>
    <w:rsid w:val="008868E4"/>
    <w:rsid w:val="00886A60"/>
    <w:rsid w:val="0088759B"/>
    <w:rsid w:val="00887C06"/>
    <w:rsid w:val="008909B4"/>
    <w:rsid w:val="00891515"/>
    <w:rsid w:val="008922E8"/>
    <w:rsid w:val="00893916"/>
    <w:rsid w:val="0089442C"/>
    <w:rsid w:val="00894821"/>
    <w:rsid w:val="00895818"/>
    <w:rsid w:val="008A2585"/>
    <w:rsid w:val="008A2718"/>
    <w:rsid w:val="008A308B"/>
    <w:rsid w:val="008A4CF6"/>
    <w:rsid w:val="008A4E42"/>
    <w:rsid w:val="008A51AA"/>
    <w:rsid w:val="008A6A12"/>
    <w:rsid w:val="008B0DC6"/>
    <w:rsid w:val="008B2B9E"/>
    <w:rsid w:val="008B2C07"/>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04D0"/>
    <w:rsid w:val="008E1B6A"/>
    <w:rsid w:val="008E3054"/>
    <w:rsid w:val="008E32FF"/>
    <w:rsid w:val="008E4845"/>
    <w:rsid w:val="008E5625"/>
    <w:rsid w:val="008E5C5B"/>
    <w:rsid w:val="008E6463"/>
    <w:rsid w:val="008E652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0A8"/>
    <w:rsid w:val="00913401"/>
    <w:rsid w:val="00913567"/>
    <w:rsid w:val="009137B6"/>
    <w:rsid w:val="009142CB"/>
    <w:rsid w:val="00914C0C"/>
    <w:rsid w:val="00915EBA"/>
    <w:rsid w:val="00917093"/>
    <w:rsid w:val="00917BD1"/>
    <w:rsid w:val="0092030E"/>
    <w:rsid w:val="009217B1"/>
    <w:rsid w:val="00921A42"/>
    <w:rsid w:val="009223BB"/>
    <w:rsid w:val="00922491"/>
    <w:rsid w:val="00922BA5"/>
    <w:rsid w:val="00923BCF"/>
    <w:rsid w:val="009249DD"/>
    <w:rsid w:val="00925AEC"/>
    <w:rsid w:val="0092751A"/>
    <w:rsid w:val="009305C4"/>
    <w:rsid w:val="00931FAF"/>
    <w:rsid w:val="00932478"/>
    <w:rsid w:val="009340E0"/>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1BC5"/>
    <w:rsid w:val="00952F2C"/>
    <w:rsid w:val="009532E3"/>
    <w:rsid w:val="00953615"/>
    <w:rsid w:val="00954BAF"/>
    <w:rsid w:val="00955F48"/>
    <w:rsid w:val="009560B3"/>
    <w:rsid w:val="0095745E"/>
    <w:rsid w:val="00957CE0"/>
    <w:rsid w:val="0096002E"/>
    <w:rsid w:val="0096039E"/>
    <w:rsid w:val="00961F66"/>
    <w:rsid w:val="009623E8"/>
    <w:rsid w:val="00962CEF"/>
    <w:rsid w:val="00963766"/>
    <w:rsid w:val="00963FDF"/>
    <w:rsid w:val="00964C32"/>
    <w:rsid w:val="00964FB0"/>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973BF"/>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D71C8"/>
    <w:rsid w:val="009D7350"/>
    <w:rsid w:val="009E0711"/>
    <w:rsid w:val="009E085F"/>
    <w:rsid w:val="009E1917"/>
    <w:rsid w:val="009E1C55"/>
    <w:rsid w:val="009E26EE"/>
    <w:rsid w:val="009E3469"/>
    <w:rsid w:val="009E3594"/>
    <w:rsid w:val="009E4E02"/>
    <w:rsid w:val="009E6B77"/>
    <w:rsid w:val="009E7724"/>
    <w:rsid w:val="009E7D1F"/>
    <w:rsid w:val="009F112B"/>
    <w:rsid w:val="009F19BD"/>
    <w:rsid w:val="009F1D82"/>
    <w:rsid w:val="009F37AA"/>
    <w:rsid w:val="009F3E23"/>
    <w:rsid w:val="009F5296"/>
    <w:rsid w:val="009F544C"/>
    <w:rsid w:val="009F5730"/>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6D3"/>
    <w:rsid w:val="00A113FD"/>
    <w:rsid w:val="00A11DDE"/>
    <w:rsid w:val="00A127A7"/>
    <w:rsid w:val="00A129F4"/>
    <w:rsid w:val="00A12CF8"/>
    <w:rsid w:val="00A136F4"/>
    <w:rsid w:val="00A160D3"/>
    <w:rsid w:val="00A16DC9"/>
    <w:rsid w:val="00A1785E"/>
    <w:rsid w:val="00A20225"/>
    <w:rsid w:val="00A212F6"/>
    <w:rsid w:val="00A229C6"/>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305"/>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578EE"/>
    <w:rsid w:val="00A60D6F"/>
    <w:rsid w:val="00A61009"/>
    <w:rsid w:val="00A61762"/>
    <w:rsid w:val="00A61938"/>
    <w:rsid w:val="00A61CFD"/>
    <w:rsid w:val="00A62B86"/>
    <w:rsid w:val="00A63C96"/>
    <w:rsid w:val="00A65805"/>
    <w:rsid w:val="00A66BEE"/>
    <w:rsid w:val="00A671C9"/>
    <w:rsid w:val="00A67DFD"/>
    <w:rsid w:val="00A70B54"/>
    <w:rsid w:val="00A74F9F"/>
    <w:rsid w:val="00A750B3"/>
    <w:rsid w:val="00A75559"/>
    <w:rsid w:val="00A7623D"/>
    <w:rsid w:val="00A8217C"/>
    <w:rsid w:val="00A824A7"/>
    <w:rsid w:val="00A83644"/>
    <w:rsid w:val="00A83C07"/>
    <w:rsid w:val="00A83F40"/>
    <w:rsid w:val="00A84945"/>
    <w:rsid w:val="00A85543"/>
    <w:rsid w:val="00A86BBD"/>
    <w:rsid w:val="00A86EDD"/>
    <w:rsid w:val="00A8728B"/>
    <w:rsid w:val="00A9146D"/>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A746F"/>
    <w:rsid w:val="00AB1572"/>
    <w:rsid w:val="00AB2318"/>
    <w:rsid w:val="00AB27CD"/>
    <w:rsid w:val="00AB2AEC"/>
    <w:rsid w:val="00AB2DC1"/>
    <w:rsid w:val="00AB3102"/>
    <w:rsid w:val="00AB3620"/>
    <w:rsid w:val="00AB3D9A"/>
    <w:rsid w:val="00AB4824"/>
    <w:rsid w:val="00AB4B1D"/>
    <w:rsid w:val="00AB6B5E"/>
    <w:rsid w:val="00AC047F"/>
    <w:rsid w:val="00AC0C9C"/>
    <w:rsid w:val="00AC0DB2"/>
    <w:rsid w:val="00AC3934"/>
    <w:rsid w:val="00AC50C8"/>
    <w:rsid w:val="00AC5581"/>
    <w:rsid w:val="00AC56AD"/>
    <w:rsid w:val="00AC61BE"/>
    <w:rsid w:val="00AC6F03"/>
    <w:rsid w:val="00AC7E8A"/>
    <w:rsid w:val="00AD0C8A"/>
    <w:rsid w:val="00AD0CB4"/>
    <w:rsid w:val="00AD1FB3"/>
    <w:rsid w:val="00AD1FF2"/>
    <w:rsid w:val="00AD2A21"/>
    <w:rsid w:val="00AD3B43"/>
    <w:rsid w:val="00AD4851"/>
    <w:rsid w:val="00AD4FF2"/>
    <w:rsid w:val="00AD506C"/>
    <w:rsid w:val="00AD5520"/>
    <w:rsid w:val="00AD6BE5"/>
    <w:rsid w:val="00AD6D3A"/>
    <w:rsid w:val="00AD783E"/>
    <w:rsid w:val="00AE1393"/>
    <w:rsid w:val="00AE2A0A"/>
    <w:rsid w:val="00AE2C7A"/>
    <w:rsid w:val="00AE3BC6"/>
    <w:rsid w:val="00AE4AED"/>
    <w:rsid w:val="00AE4D4F"/>
    <w:rsid w:val="00AE627C"/>
    <w:rsid w:val="00AE62B0"/>
    <w:rsid w:val="00AE68A2"/>
    <w:rsid w:val="00AE73DD"/>
    <w:rsid w:val="00AE74B1"/>
    <w:rsid w:val="00AF0029"/>
    <w:rsid w:val="00AF0354"/>
    <w:rsid w:val="00AF1236"/>
    <w:rsid w:val="00AF3C29"/>
    <w:rsid w:val="00AF4401"/>
    <w:rsid w:val="00AF4463"/>
    <w:rsid w:val="00AF499F"/>
    <w:rsid w:val="00AF502B"/>
    <w:rsid w:val="00AF53CB"/>
    <w:rsid w:val="00AF65C5"/>
    <w:rsid w:val="00B03CE2"/>
    <w:rsid w:val="00B06544"/>
    <w:rsid w:val="00B0781E"/>
    <w:rsid w:val="00B105F2"/>
    <w:rsid w:val="00B10991"/>
    <w:rsid w:val="00B10A25"/>
    <w:rsid w:val="00B12128"/>
    <w:rsid w:val="00B12945"/>
    <w:rsid w:val="00B12C1E"/>
    <w:rsid w:val="00B1467D"/>
    <w:rsid w:val="00B155DF"/>
    <w:rsid w:val="00B156CF"/>
    <w:rsid w:val="00B1570E"/>
    <w:rsid w:val="00B176B9"/>
    <w:rsid w:val="00B17AD5"/>
    <w:rsid w:val="00B17DC8"/>
    <w:rsid w:val="00B17E1E"/>
    <w:rsid w:val="00B201E1"/>
    <w:rsid w:val="00B207F1"/>
    <w:rsid w:val="00B20A42"/>
    <w:rsid w:val="00B20BDE"/>
    <w:rsid w:val="00B20C41"/>
    <w:rsid w:val="00B2138D"/>
    <w:rsid w:val="00B21768"/>
    <w:rsid w:val="00B2219E"/>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2798"/>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11A"/>
    <w:rsid w:val="00B60D27"/>
    <w:rsid w:val="00B60DE9"/>
    <w:rsid w:val="00B619E4"/>
    <w:rsid w:val="00B61CD3"/>
    <w:rsid w:val="00B61D0B"/>
    <w:rsid w:val="00B6351C"/>
    <w:rsid w:val="00B6439A"/>
    <w:rsid w:val="00B6443B"/>
    <w:rsid w:val="00B6517B"/>
    <w:rsid w:val="00B658A2"/>
    <w:rsid w:val="00B65E71"/>
    <w:rsid w:val="00B662CF"/>
    <w:rsid w:val="00B66C26"/>
    <w:rsid w:val="00B67829"/>
    <w:rsid w:val="00B6796A"/>
    <w:rsid w:val="00B71FB3"/>
    <w:rsid w:val="00B73492"/>
    <w:rsid w:val="00B7372B"/>
    <w:rsid w:val="00B73BC4"/>
    <w:rsid w:val="00B7512A"/>
    <w:rsid w:val="00B76548"/>
    <w:rsid w:val="00B76BED"/>
    <w:rsid w:val="00B77CF7"/>
    <w:rsid w:val="00B806E6"/>
    <w:rsid w:val="00B80A95"/>
    <w:rsid w:val="00B82DC1"/>
    <w:rsid w:val="00B835D5"/>
    <w:rsid w:val="00B84028"/>
    <w:rsid w:val="00B84307"/>
    <w:rsid w:val="00B8430D"/>
    <w:rsid w:val="00B85661"/>
    <w:rsid w:val="00B85C8A"/>
    <w:rsid w:val="00B86FBD"/>
    <w:rsid w:val="00B90C16"/>
    <w:rsid w:val="00B91B86"/>
    <w:rsid w:val="00B91D95"/>
    <w:rsid w:val="00B92707"/>
    <w:rsid w:val="00B927CA"/>
    <w:rsid w:val="00B928AE"/>
    <w:rsid w:val="00B93CDA"/>
    <w:rsid w:val="00B942E9"/>
    <w:rsid w:val="00B9433A"/>
    <w:rsid w:val="00B948EE"/>
    <w:rsid w:val="00B94B1C"/>
    <w:rsid w:val="00B94BF3"/>
    <w:rsid w:val="00B94F90"/>
    <w:rsid w:val="00B95DC5"/>
    <w:rsid w:val="00B96E28"/>
    <w:rsid w:val="00B97E34"/>
    <w:rsid w:val="00B97FEF"/>
    <w:rsid w:val="00BA1354"/>
    <w:rsid w:val="00BA24F8"/>
    <w:rsid w:val="00BA31AA"/>
    <w:rsid w:val="00BA4479"/>
    <w:rsid w:val="00BA45D8"/>
    <w:rsid w:val="00BA5571"/>
    <w:rsid w:val="00BA5828"/>
    <w:rsid w:val="00BA64B3"/>
    <w:rsid w:val="00BA754A"/>
    <w:rsid w:val="00BA7820"/>
    <w:rsid w:val="00BA794C"/>
    <w:rsid w:val="00BB09FB"/>
    <w:rsid w:val="00BB1973"/>
    <w:rsid w:val="00BB238D"/>
    <w:rsid w:val="00BB37CC"/>
    <w:rsid w:val="00BB48C4"/>
    <w:rsid w:val="00BB6907"/>
    <w:rsid w:val="00BB7A20"/>
    <w:rsid w:val="00BC0A09"/>
    <w:rsid w:val="00BC15B1"/>
    <w:rsid w:val="00BC1D3C"/>
    <w:rsid w:val="00BC3C06"/>
    <w:rsid w:val="00BC4E8B"/>
    <w:rsid w:val="00BC5622"/>
    <w:rsid w:val="00BC6060"/>
    <w:rsid w:val="00BC6A9F"/>
    <w:rsid w:val="00BC7897"/>
    <w:rsid w:val="00BD06D7"/>
    <w:rsid w:val="00BD0F35"/>
    <w:rsid w:val="00BD29FC"/>
    <w:rsid w:val="00BD45A4"/>
    <w:rsid w:val="00BD4A5F"/>
    <w:rsid w:val="00BD59AA"/>
    <w:rsid w:val="00BD5D82"/>
    <w:rsid w:val="00BD5F60"/>
    <w:rsid w:val="00BD65E6"/>
    <w:rsid w:val="00BD6AF7"/>
    <w:rsid w:val="00BD73AA"/>
    <w:rsid w:val="00BE02A2"/>
    <w:rsid w:val="00BE19EF"/>
    <w:rsid w:val="00BE1DF8"/>
    <w:rsid w:val="00BE2C57"/>
    <w:rsid w:val="00BE425B"/>
    <w:rsid w:val="00BE51BB"/>
    <w:rsid w:val="00BE618C"/>
    <w:rsid w:val="00BE7595"/>
    <w:rsid w:val="00BE761D"/>
    <w:rsid w:val="00BE77D3"/>
    <w:rsid w:val="00BF0138"/>
    <w:rsid w:val="00BF114B"/>
    <w:rsid w:val="00BF1620"/>
    <w:rsid w:val="00BF1AC3"/>
    <w:rsid w:val="00BF3334"/>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277F"/>
    <w:rsid w:val="00C03837"/>
    <w:rsid w:val="00C044B4"/>
    <w:rsid w:val="00C04F1C"/>
    <w:rsid w:val="00C05105"/>
    <w:rsid w:val="00C05202"/>
    <w:rsid w:val="00C05A5D"/>
    <w:rsid w:val="00C0654A"/>
    <w:rsid w:val="00C06781"/>
    <w:rsid w:val="00C06DE3"/>
    <w:rsid w:val="00C06F97"/>
    <w:rsid w:val="00C10BE6"/>
    <w:rsid w:val="00C11296"/>
    <w:rsid w:val="00C11905"/>
    <w:rsid w:val="00C12185"/>
    <w:rsid w:val="00C1234A"/>
    <w:rsid w:val="00C12661"/>
    <w:rsid w:val="00C126DC"/>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2295"/>
    <w:rsid w:val="00C33916"/>
    <w:rsid w:val="00C33BCF"/>
    <w:rsid w:val="00C353A0"/>
    <w:rsid w:val="00C368D7"/>
    <w:rsid w:val="00C36FD1"/>
    <w:rsid w:val="00C371A5"/>
    <w:rsid w:val="00C400B0"/>
    <w:rsid w:val="00C413FC"/>
    <w:rsid w:val="00C42424"/>
    <w:rsid w:val="00C436D5"/>
    <w:rsid w:val="00C43D33"/>
    <w:rsid w:val="00C44407"/>
    <w:rsid w:val="00C456E8"/>
    <w:rsid w:val="00C46630"/>
    <w:rsid w:val="00C47A2F"/>
    <w:rsid w:val="00C50D18"/>
    <w:rsid w:val="00C51179"/>
    <w:rsid w:val="00C5282C"/>
    <w:rsid w:val="00C52FBE"/>
    <w:rsid w:val="00C5301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1C09"/>
    <w:rsid w:val="00C72976"/>
    <w:rsid w:val="00C729C7"/>
    <w:rsid w:val="00C75F5F"/>
    <w:rsid w:val="00C777AD"/>
    <w:rsid w:val="00C77B56"/>
    <w:rsid w:val="00C80C53"/>
    <w:rsid w:val="00C81195"/>
    <w:rsid w:val="00C81798"/>
    <w:rsid w:val="00C85387"/>
    <w:rsid w:val="00C859F5"/>
    <w:rsid w:val="00C85E52"/>
    <w:rsid w:val="00C86471"/>
    <w:rsid w:val="00C8677B"/>
    <w:rsid w:val="00C86F96"/>
    <w:rsid w:val="00C909C6"/>
    <w:rsid w:val="00C923B7"/>
    <w:rsid w:val="00C94D4C"/>
    <w:rsid w:val="00C96C1E"/>
    <w:rsid w:val="00C96CA4"/>
    <w:rsid w:val="00C97C20"/>
    <w:rsid w:val="00CA012C"/>
    <w:rsid w:val="00CA0AA6"/>
    <w:rsid w:val="00CA2897"/>
    <w:rsid w:val="00CA44F3"/>
    <w:rsid w:val="00CA4B3D"/>
    <w:rsid w:val="00CA582C"/>
    <w:rsid w:val="00CA6077"/>
    <w:rsid w:val="00CA715B"/>
    <w:rsid w:val="00CA73C5"/>
    <w:rsid w:val="00CA7988"/>
    <w:rsid w:val="00CA7BA2"/>
    <w:rsid w:val="00CA7CDE"/>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30F2"/>
    <w:rsid w:val="00CE438D"/>
    <w:rsid w:val="00CE6DE0"/>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0E77"/>
    <w:rsid w:val="00D22398"/>
    <w:rsid w:val="00D22786"/>
    <w:rsid w:val="00D228B4"/>
    <w:rsid w:val="00D25AC4"/>
    <w:rsid w:val="00D305F6"/>
    <w:rsid w:val="00D30B25"/>
    <w:rsid w:val="00D3175A"/>
    <w:rsid w:val="00D31A00"/>
    <w:rsid w:val="00D323E4"/>
    <w:rsid w:val="00D32871"/>
    <w:rsid w:val="00D329F6"/>
    <w:rsid w:val="00D33881"/>
    <w:rsid w:val="00D34282"/>
    <w:rsid w:val="00D35672"/>
    <w:rsid w:val="00D366B1"/>
    <w:rsid w:val="00D37AE0"/>
    <w:rsid w:val="00D416A8"/>
    <w:rsid w:val="00D4217D"/>
    <w:rsid w:val="00D4257C"/>
    <w:rsid w:val="00D425AC"/>
    <w:rsid w:val="00D42823"/>
    <w:rsid w:val="00D42D5E"/>
    <w:rsid w:val="00D43F14"/>
    <w:rsid w:val="00D44C18"/>
    <w:rsid w:val="00D4556D"/>
    <w:rsid w:val="00D47F37"/>
    <w:rsid w:val="00D47FB9"/>
    <w:rsid w:val="00D511C6"/>
    <w:rsid w:val="00D5121D"/>
    <w:rsid w:val="00D516AC"/>
    <w:rsid w:val="00D521BB"/>
    <w:rsid w:val="00D52875"/>
    <w:rsid w:val="00D53941"/>
    <w:rsid w:val="00D54050"/>
    <w:rsid w:val="00D56AC0"/>
    <w:rsid w:val="00D6081B"/>
    <w:rsid w:val="00D60960"/>
    <w:rsid w:val="00D61B5C"/>
    <w:rsid w:val="00D6240A"/>
    <w:rsid w:val="00D62E52"/>
    <w:rsid w:val="00D63093"/>
    <w:rsid w:val="00D63599"/>
    <w:rsid w:val="00D63EBD"/>
    <w:rsid w:val="00D66233"/>
    <w:rsid w:val="00D67101"/>
    <w:rsid w:val="00D71B45"/>
    <w:rsid w:val="00D71F8A"/>
    <w:rsid w:val="00D744B0"/>
    <w:rsid w:val="00D75603"/>
    <w:rsid w:val="00D75FEE"/>
    <w:rsid w:val="00D76933"/>
    <w:rsid w:val="00D76D88"/>
    <w:rsid w:val="00D77CC9"/>
    <w:rsid w:val="00D83D4B"/>
    <w:rsid w:val="00D871C6"/>
    <w:rsid w:val="00D91010"/>
    <w:rsid w:val="00D9143D"/>
    <w:rsid w:val="00D920D1"/>
    <w:rsid w:val="00D925A8"/>
    <w:rsid w:val="00D92FC1"/>
    <w:rsid w:val="00D9439D"/>
    <w:rsid w:val="00D9540B"/>
    <w:rsid w:val="00DA0FA7"/>
    <w:rsid w:val="00DA12B0"/>
    <w:rsid w:val="00DA2BA0"/>
    <w:rsid w:val="00DA39AD"/>
    <w:rsid w:val="00DA3D1F"/>
    <w:rsid w:val="00DA5B13"/>
    <w:rsid w:val="00DA6917"/>
    <w:rsid w:val="00DA6926"/>
    <w:rsid w:val="00DA6FBC"/>
    <w:rsid w:val="00DB02D4"/>
    <w:rsid w:val="00DB0895"/>
    <w:rsid w:val="00DB0965"/>
    <w:rsid w:val="00DB0E47"/>
    <w:rsid w:val="00DB2BDD"/>
    <w:rsid w:val="00DB4121"/>
    <w:rsid w:val="00DB46C3"/>
    <w:rsid w:val="00DB5742"/>
    <w:rsid w:val="00DB5EDF"/>
    <w:rsid w:val="00DB650C"/>
    <w:rsid w:val="00DB6C46"/>
    <w:rsid w:val="00DB72B8"/>
    <w:rsid w:val="00DC0A6B"/>
    <w:rsid w:val="00DC16AF"/>
    <w:rsid w:val="00DC2A9A"/>
    <w:rsid w:val="00DC2E2E"/>
    <w:rsid w:val="00DC3559"/>
    <w:rsid w:val="00DC43DE"/>
    <w:rsid w:val="00DC4D68"/>
    <w:rsid w:val="00DC6463"/>
    <w:rsid w:val="00DC7822"/>
    <w:rsid w:val="00DC7AF1"/>
    <w:rsid w:val="00DD2CDA"/>
    <w:rsid w:val="00DD2D92"/>
    <w:rsid w:val="00DD3026"/>
    <w:rsid w:val="00DD33DC"/>
    <w:rsid w:val="00DD3BB0"/>
    <w:rsid w:val="00DD61F5"/>
    <w:rsid w:val="00DD7418"/>
    <w:rsid w:val="00DE38AF"/>
    <w:rsid w:val="00DE64A6"/>
    <w:rsid w:val="00DE66EB"/>
    <w:rsid w:val="00DE7035"/>
    <w:rsid w:val="00DF0920"/>
    <w:rsid w:val="00DF12E3"/>
    <w:rsid w:val="00DF2A20"/>
    <w:rsid w:val="00DF3F1D"/>
    <w:rsid w:val="00DF5689"/>
    <w:rsid w:val="00DF595C"/>
    <w:rsid w:val="00DF7CB4"/>
    <w:rsid w:val="00DF7EA7"/>
    <w:rsid w:val="00E00F70"/>
    <w:rsid w:val="00E043DC"/>
    <w:rsid w:val="00E04548"/>
    <w:rsid w:val="00E0484E"/>
    <w:rsid w:val="00E063F8"/>
    <w:rsid w:val="00E0765B"/>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42F"/>
    <w:rsid w:val="00E43536"/>
    <w:rsid w:val="00E43DA3"/>
    <w:rsid w:val="00E44B80"/>
    <w:rsid w:val="00E45938"/>
    <w:rsid w:val="00E469BD"/>
    <w:rsid w:val="00E47430"/>
    <w:rsid w:val="00E474BD"/>
    <w:rsid w:val="00E50FB7"/>
    <w:rsid w:val="00E512D0"/>
    <w:rsid w:val="00E5199F"/>
    <w:rsid w:val="00E526DF"/>
    <w:rsid w:val="00E53C15"/>
    <w:rsid w:val="00E54EE6"/>
    <w:rsid w:val="00E56715"/>
    <w:rsid w:val="00E56C2C"/>
    <w:rsid w:val="00E57F8E"/>
    <w:rsid w:val="00E611C8"/>
    <w:rsid w:val="00E619AB"/>
    <w:rsid w:val="00E6344A"/>
    <w:rsid w:val="00E63B4A"/>
    <w:rsid w:val="00E64E69"/>
    <w:rsid w:val="00E64FB7"/>
    <w:rsid w:val="00E669A1"/>
    <w:rsid w:val="00E679BA"/>
    <w:rsid w:val="00E70243"/>
    <w:rsid w:val="00E70E2E"/>
    <w:rsid w:val="00E72CC6"/>
    <w:rsid w:val="00E73852"/>
    <w:rsid w:val="00E73D44"/>
    <w:rsid w:val="00E7494A"/>
    <w:rsid w:val="00E74BE2"/>
    <w:rsid w:val="00E74C66"/>
    <w:rsid w:val="00E75933"/>
    <w:rsid w:val="00E77259"/>
    <w:rsid w:val="00E77A1B"/>
    <w:rsid w:val="00E808BE"/>
    <w:rsid w:val="00E81E36"/>
    <w:rsid w:val="00E81E40"/>
    <w:rsid w:val="00E82ECE"/>
    <w:rsid w:val="00E83484"/>
    <w:rsid w:val="00E858E6"/>
    <w:rsid w:val="00E8713B"/>
    <w:rsid w:val="00E90774"/>
    <w:rsid w:val="00E90C61"/>
    <w:rsid w:val="00E92A82"/>
    <w:rsid w:val="00E92AA8"/>
    <w:rsid w:val="00E9344E"/>
    <w:rsid w:val="00E93E39"/>
    <w:rsid w:val="00E94391"/>
    <w:rsid w:val="00E971A1"/>
    <w:rsid w:val="00E97E2B"/>
    <w:rsid w:val="00E97F9A"/>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4AB"/>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019"/>
    <w:rsid w:val="00F02C04"/>
    <w:rsid w:val="00F03AF1"/>
    <w:rsid w:val="00F04BCD"/>
    <w:rsid w:val="00F05A8C"/>
    <w:rsid w:val="00F05CE8"/>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1E94"/>
    <w:rsid w:val="00F22232"/>
    <w:rsid w:val="00F2228E"/>
    <w:rsid w:val="00F22D3C"/>
    <w:rsid w:val="00F23D66"/>
    <w:rsid w:val="00F24E6F"/>
    <w:rsid w:val="00F26069"/>
    <w:rsid w:val="00F26B7E"/>
    <w:rsid w:val="00F27A8A"/>
    <w:rsid w:val="00F27D7D"/>
    <w:rsid w:val="00F3002B"/>
    <w:rsid w:val="00F30BC9"/>
    <w:rsid w:val="00F32372"/>
    <w:rsid w:val="00F32462"/>
    <w:rsid w:val="00F32FF7"/>
    <w:rsid w:val="00F33EDE"/>
    <w:rsid w:val="00F3568B"/>
    <w:rsid w:val="00F377CD"/>
    <w:rsid w:val="00F40C3B"/>
    <w:rsid w:val="00F40CE0"/>
    <w:rsid w:val="00F4177E"/>
    <w:rsid w:val="00F4261C"/>
    <w:rsid w:val="00F42DBC"/>
    <w:rsid w:val="00F4308D"/>
    <w:rsid w:val="00F43D4F"/>
    <w:rsid w:val="00F44012"/>
    <w:rsid w:val="00F44947"/>
    <w:rsid w:val="00F458EF"/>
    <w:rsid w:val="00F45BB7"/>
    <w:rsid w:val="00F469F8"/>
    <w:rsid w:val="00F47121"/>
    <w:rsid w:val="00F4775D"/>
    <w:rsid w:val="00F504DD"/>
    <w:rsid w:val="00F50874"/>
    <w:rsid w:val="00F516C6"/>
    <w:rsid w:val="00F52221"/>
    <w:rsid w:val="00F52B28"/>
    <w:rsid w:val="00F536BB"/>
    <w:rsid w:val="00F53755"/>
    <w:rsid w:val="00F53E59"/>
    <w:rsid w:val="00F5475B"/>
    <w:rsid w:val="00F5667F"/>
    <w:rsid w:val="00F574D0"/>
    <w:rsid w:val="00F6031F"/>
    <w:rsid w:val="00F61664"/>
    <w:rsid w:val="00F61B99"/>
    <w:rsid w:val="00F61D43"/>
    <w:rsid w:val="00F64A46"/>
    <w:rsid w:val="00F64C45"/>
    <w:rsid w:val="00F6502B"/>
    <w:rsid w:val="00F6612A"/>
    <w:rsid w:val="00F66724"/>
    <w:rsid w:val="00F66ABA"/>
    <w:rsid w:val="00F67F04"/>
    <w:rsid w:val="00F70207"/>
    <w:rsid w:val="00F702CB"/>
    <w:rsid w:val="00F716D4"/>
    <w:rsid w:val="00F71AC2"/>
    <w:rsid w:val="00F739D4"/>
    <w:rsid w:val="00F75F89"/>
    <w:rsid w:val="00F77D43"/>
    <w:rsid w:val="00F80953"/>
    <w:rsid w:val="00F80B5C"/>
    <w:rsid w:val="00F81312"/>
    <w:rsid w:val="00F81B90"/>
    <w:rsid w:val="00F81E6F"/>
    <w:rsid w:val="00F821D8"/>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4782"/>
    <w:rsid w:val="00F9580B"/>
    <w:rsid w:val="00F95F15"/>
    <w:rsid w:val="00F9635F"/>
    <w:rsid w:val="00F975CA"/>
    <w:rsid w:val="00FA0B60"/>
    <w:rsid w:val="00FA0D5F"/>
    <w:rsid w:val="00FA2528"/>
    <w:rsid w:val="00FA4100"/>
    <w:rsid w:val="00FA5524"/>
    <w:rsid w:val="00FA5535"/>
    <w:rsid w:val="00FA6A09"/>
    <w:rsid w:val="00FA7206"/>
    <w:rsid w:val="00FA7EFB"/>
    <w:rsid w:val="00FB0816"/>
    <w:rsid w:val="00FB08C2"/>
    <w:rsid w:val="00FB3DD1"/>
    <w:rsid w:val="00FB51FD"/>
    <w:rsid w:val="00FB5667"/>
    <w:rsid w:val="00FB5BDC"/>
    <w:rsid w:val="00FB7A97"/>
    <w:rsid w:val="00FC1601"/>
    <w:rsid w:val="00FC1B9B"/>
    <w:rsid w:val="00FC318D"/>
    <w:rsid w:val="00FC3298"/>
    <w:rsid w:val="00FC36CF"/>
    <w:rsid w:val="00FC40BC"/>
    <w:rsid w:val="00FC41FC"/>
    <w:rsid w:val="00FC4F6E"/>
    <w:rsid w:val="00FC506C"/>
    <w:rsid w:val="00FC578C"/>
    <w:rsid w:val="00FC5A37"/>
    <w:rsid w:val="00FC7836"/>
    <w:rsid w:val="00FD13EA"/>
    <w:rsid w:val="00FD2E4C"/>
    <w:rsid w:val="00FD4BCD"/>
    <w:rsid w:val="00FD5EC4"/>
    <w:rsid w:val="00FD70DB"/>
    <w:rsid w:val="00FD7858"/>
    <w:rsid w:val="00FD7A8D"/>
    <w:rsid w:val="00FE11A0"/>
    <w:rsid w:val="00FE1330"/>
    <w:rsid w:val="00FE1CE5"/>
    <w:rsid w:val="00FE2832"/>
    <w:rsid w:val="00FE2D38"/>
    <w:rsid w:val="00FE37E6"/>
    <w:rsid w:val="00FE3929"/>
    <w:rsid w:val="00FE3E32"/>
    <w:rsid w:val="00FF097B"/>
    <w:rsid w:val="00FF0B6E"/>
    <w:rsid w:val="00FF1965"/>
    <w:rsid w:val="00FF1A1F"/>
    <w:rsid w:val="00FF1C1B"/>
    <w:rsid w:val="00FF2067"/>
    <w:rsid w:val="00FF3BC4"/>
    <w:rsid w:val="00FF4B66"/>
    <w:rsid w:val="00FF589B"/>
    <w:rsid w:val="00FF5939"/>
    <w:rsid w:val="00FF688E"/>
    <w:rsid w:val="00FF7148"/>
    <w:rsid w:val="00FF75A2"/>
    <w:rsid w:val="07C5A5C2"/>
    <w:rsid w:val="0E12C503"/>
    <w:rsid w:val="26724E96"/>
    <w:rsid w:val="27F3B915"/>
    <w:rsid w:val="296079D6"/>
    <w:rsid w:val="2B8512EF"/>
    <w:rsid w:val="30E239BB"/>
    <w:rsid w:val="3F3470FB"/>
    <w:rsid w:val="43D0CEE3"/>
    <w:rsid w:val="4B8DD299"/>
    <w:rsid w:val="65065958"/>
    <w:rsid w:val="70B6618D"/>
    <w:rsid w:val="7BAF5FCE"/>
    <w:rsid w:val="7E5A43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17A64EB1-5E25-4020-993B-CB866305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82187395">
      <w:bodyDiv w:val="1"/>
      <w:marLeft w:val="0"/>
      <w:marRight w:val="0"/>
      <w:marTop w:val="0"/>
      <w:marBottom w:val="0"/>
      <w:divBdr>
        <w:top w:val="none" w:sz="0" w:space="0" w:color="auto"/>
        <w:left w:val="none" w:sz="0" w:space="0" w:color="auto"/>
        <w:bottom w:val="none" w:sz="0" w:space="0" w:color="auto"/>
        <w:right w:val="none" w:sz="0" w:space="0" w:color="auto"/>
      </w:divBdr>
    </w:div>
    <w:div w:id="88475409">
      <w:bodyDiv w:val="1"/>
      <w:marLeft w:val="0"/>
      <w:marRight w:val="0"/>
      <w:marTop w:val="0"/>
      <w:marBottom w:val="0"/>
      <w:divBdr>
        <w:top w:val="none" w:sz="0" w:space="0" w:color="auto"/>
        <w:left w:val="none" w:sz="0" w:space="0" w:color="auto"/>
        <w:bottom w:val="none" w:sz="0" w:space="0" w:color="auto"/>
        <w:right w:val="none" w:sz="0" w:space="0" w:color="auto"/>
      </w:divBdr>
    </w:div>
    <w:div w:id="130754736">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92118413">
      <w:bodyDiv w:val="1"/>
      <w:marLeft w:val="0"/>
      <w:marRight w:val="0"/>
      <w:marTop w:val="0"/>
      <w:marBottom w:val="0"/>
      <w:divBdr>
        <w:top w:val="none" w:sz="0" w:space="0" w:color="auto"/>
        <w:left w:val="none" w:sz="0" w:space="0" w:color="auto"/>
        <w:bottom w:val="none" w:sz="0" w:space="0" w:color="auto"/>
        <w:right w:val="none" w:sz="0" w:space="0" w:color="auto"/>
      </w:divBdr>
    </w:div>
    <w:div w:id="413816280">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26675629">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591208815">
      <w:bodyDiv w:val="1"/>
      <w:marLeft w:val="0"/>
      <w:marRight w:val="0"/>
      <w:marTop w:val="0"/>
      <w:marBottom w:val="0"/>
      <w:divBdr>
        <w:top w:val="none" w:sz="0" w:space="0" w:color="auto"/>
        <w:left w:val="none" w:sz="0" w:space="0" w:color="auto"/>
        <w:bottom w:val="none" w:sz="0" w:space="0" w:color="auto"/>
        <w:right w:val="none" w:sz="0" w:space="0" w:color="auto"/>
      </w:divBdr>
    </w:div>
    <w:div w:id="733547887">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47075651">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25548745">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570729679">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27218345">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09742197">
      <w:bodyDiv w:val="1"/>
      <w:marLeft w:val="0"/>
      <w:marRight w:val="0"/>
      <w:marTop w:val="0"/>
      <w:marBottom w:val="0"/>
      <w:divBdr>
        <w:top w:val="none" w:sz="0" w:space="0" w:color="auto"/>
        <w:left w:val="none" w:sz="0" w:space="0" w:color="auto"/>
        <w:bottom w:val="none" w:sz="0" w:space="0" w:color="auto"/>
        <w:right w:val="none" w:sz="0" w:space="0" w:color="auto"/>
      </w:divBdr>
    </w:div>
    <w:div w:id="1889879966">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39757172">
      <w:bodyDiv w:val="1"/>
      <w:marLeft w:val="0"/>
      <w:marRight w:val="0"/>
      <w:marTop w:val="0"/>
      <w:marBottom w:val="0"/>
      <w:divBdr>
        <w:top w:val="none" w:sz="0" w:space="0" w:color="auto"/>
        <w:left w:val="none" w:sz="0" w:space="0" w:color="auto"/>
        <w:bottom w:val="none" w:sz="0" w:space="0" w:color="auto"/>
        <w:right w:val="none" w:sz="0" w:space="0" w:color="auto"/>
      </w:divBdr>
    </w:div>
    <w:div w:id="2002850381">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p-global.org/sites/default/files/2025-02/CCP12_AMR_2022_20230713-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5.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customXml/itemProps5.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3146</Words>
  <Characters>17938</Characters>
  <Application>Microsoft Office Word</Application>
  <DocSecurity>0</DocSecurity>
  <Lines>149</Lines>
  <Paragraphs>42</Paragraphs>
  <ScaleCrop>false</ScaleCrop>
  <Company>ESMA</Company>
  <LinksUpToDate>false</LinksUpToDate>
  <CharactersWithSpaces>21042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Antonella Del Figliolo</cp:lastModifiedBy>
  <cp:revision>2</cp:revision>
  <cp:lastPrinted>2015-02-19T23:01:00Z</cp:lastPrinted>
  <dcterms:created xsi:type="dcterms:W3CDTF">2025-09-05T14:15:00Z</dcterms:created>
  <dcterms:modified xsi:type="dcterms:W3CDTF">2025-09-05T14:15:00Z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