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67A08586" w:rsidR="004E60D2" w:rsidRPr="00252134" w:rsidRDefault="007C5962" w:rsidP="004E60D2">
      <w:pPr>
        <w:pStyle w:val="Subtitle"/>
        <w:spacing w:after="0"/>
        <w:rPr>
          <w:b w:val="0"/>
          <w:bCs w:val="0"/>
        </w:rPr>
        <w:sectPr w:rsidR="004E60D2" w:rsidRPr="00252134" w:rsidSect="004E60D2">
          <w:headerReference w:type="default" r:id="rId13"/>
          <w:footerReference w:type="default" r:id="rId14"/>
          <w:headerReference w:type="first" r:id="rId15"/>
          <w:footerReference w:type="first" r:id="rId16"/>
          <w:pgSz w:w="11906" w:h="16838" w:code="9"/>
          <w:pgMar w:top="1418" w:right="1418" w:bottom="1418" w:left="1418" w:header="862" w:footer="862" w:gutter="0"/>
          <w:pgNumType w:start="0"/>
          <w:cols w:space="708"/>
          <w:titlePg/>
          <w:docGrid w:linePitch="360"/>
        </w:sectPr>
      </w:pPr>
      <w:r>
        <w:t>Consultation Paper on d</w:t>
      </w:r>
      <w:r w:rsidRPr="007C5962">
        <w:t xml:space="preserve">raft RTS on </w:t>
      </w:r>
      <w:r w:rsidR="00BF5B3D" w:rsidRPr="00CE1420">
        <w:rPr>
          <w:noProof/>
        </w:rPr>
        <w:t>Margin Transparency</w:t>
      </w:r>
      <w:r w:rsidR="00BF5B3D" w:rsidRPr="00BF5B3D">
        <w:rPr>
          <w:b w:val="0"/>
          <w:bCs w:val="0"/>
          <w:noProof/>
        </w:rPr>
        <w:t xml:space="preserve"> </w:t>
      </w:r>
      <w:r w:rsidR="004E60D2" w:rsidRPr="00CE1420">
        <w:rPr>
          <w:noProof/>
        </w:rPr>
        <mc:AlternateContent>
          <mc:Choice Requires="wps">
            <w:drawing>
              <wp:anchor distT="0" distB="0" distL="114300" distR="114300" simplePos="0" relativeHeight="251658752"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3FE63E" id="Freeform: Shape 1" o:spid="_x0000_s1026" style="position:absolute;margin-left:-.45pt;margin-top:53.75pt;width:596.1pt;height:769.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8"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CF56F2" w:rsidRPr="00CE1420">
        <w:rPr>
          <w:noProof/>
        </w:rPr>
        <w:t>Requirements</w:t>
      </w:r>
      <w:r w:rsidR="00CE1420" w:rsidRPr="00CE1420">
        <w:rPr>
          <w:noProof/>
        </w:rPr>
        <w:t xml:space="preserve"> (Article 38(10) of EMIR)</w:t>
      </w:r>
    </w:p>
    <w:p w14:paraId="1B9D7190" w14:textId="7487B8C5" w:rsidR="00F574D0" w:rsidRPr="009D6E99" w:rsidRDefault="00F574D0" w:rsidP="004E60D2">
      <w:pPr>
        <w:pStyle w:val="Subtitle"/>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2E61F5C7" w:rsidR="00E70E2E" w:rsidRDefault="00E70E2E" w:rsidP="00E70E2E">
      <w:pPr>
        <w:rPr>
          <w:b/>
        </w:rPr>
      </w:pPr>
      <w:r w:rsidRPr="00517886">
        <w:t xml:space="preserve">ESMA will consider all comments received by </w:t>
      </w:r>
      <w:r w:rsidR="00941D26" w:rsidRPr="00941D26">
        <w:rPr>
          <w:b/>
        </w:rPr>
        <w:t>8</w:t>
      </w:r>
      <w:r w:rsidR="00122CB8" w:rsidRPr="00941D26">
        <w:rPr>
          <w:b/>
        </w:rPr>
        <w:t xml:space="preserve"> September</w:t>
      </w:r>
      <w:r w:rsidR="009E1C55" w:rsidRPr="00941D26">
        <w:rPr>
          <w:b/>
        </w:rPr>
        <w:t xml:space="preserve"> </w:t>
      </w:r>
      <w:r w:rsidR="005A775C" w:rsidRPr="00941D26">
        <w:rPr>
          <w:b/>
        </w:rPr>
        <w:t>202</w:t>
      </w:r>
      <w:r w:rsidR="002E2DC6" w:rsidRPr="00941D26">
        <w:rPr>
          <w:b/>
        </w:rPr>
        <w:t>5</w:t>
      </w:r>
      <w:r w:rsidRPr="00941D2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1673BFCA"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F136FD">
        <w:t>MARG</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38B4482B"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5B277C">
        <w:t>MARG</w:t>
      </w:r>
      <w:r w:rsidRPr="00863BFD">
        <w:t xml:space="preserve">_nameofrespondent. </w:t>
      </w:r>
    </w:p>
    <w:p w14:paraId="115A7ABF" w14:textId="1B4EC248"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5B277C">
        <w:t>MARG</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9"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0"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1"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22"/>
          <w:headerReference w:type="default" r:id="rId23"/>
          <w:footerReference w:type="default"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vAlign w:val="center"/>
              </w:tcPr>
              <w:p w14:paraId="633DB1B6" w14:textId="5E460D6D" w:rsidR="00C2682A" w:rsidRPr="00104E00" w:rsidRDefault="00244714" w:rsidP="00104E00">
                <w:pPr>
                  <w:jc w:val="left"/>
                  <w:rPr>
                    <w:rStyle w:val="PlaceholderText"/>
                  </w:rPr>
                </w:pPr>
                <w:r>
                  <w:rPr>
                    <w:rStyle w:val="PlaceholderText"/>
                  </w:rPr>
                  <w:t>Cboe Clear Europe N.V.</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753E687D" w:rsidR="00C2682A" w:rsidRPr="00104E00" w:rsidRDefault="00B94883"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244714">
                  <w:t>Central Counterparty</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EndPr/>
          <w:sdtContent>
            <w:tc>
              <w:tcPr>
                <w:tcW w:w="5595" w:type="dxa"/>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vAlign w:val="center"/>
              </w:tcPr>
              <w:p w14:paraId="204E7C89" w14:textId="18D3C9F8" w:rsidR="00C2682A" w:rsidRPr="00104E00" w:rsidRDefault="00244714" w:rsidP="00104E00">
                <w:pPr>
                  <w:jc w:val="left"/>
                </w:pPr>
                <w:r>
                  <w:t>The Netherlands</w:t>
                </w:r>
              </w:p>
            </w:tc>
          </w:sdtContent>
        </w:sdt>
      </w:tr>
      <w:permEnd w:id="1727412903"/>
    </w:tbl>
    <w:p w14:paraId="398E9C9E" w14:textId="10C9CC3D" w:rsidR="00C2682A" w:rsidRDefault="00C2682A" w:rsidP="00F716D4"/>
    <w:p w14:paraId="4C9899E4" w14:textId="749894CD" w:rsidR="002F47B9" w:rsidRPr="00C75BED" w:rsidRDefault="00A833EF" w:rsidP="002F47B9">
      <w:pPr>
        <w:spacing w:after="0" w:line="240" w:lineRule="auto"/>
      </w:pPr>
      <w:r w:rsidRPr="00C75BED">
        <w:t>Cboe Clear Europe N.V. (“Cboe Clear”)</w:t>
      </w:r>
      <w:r w:rsidR="002F47B9" w:rsidRPr="00C75BED">
        <w:t xml:space="preserve"> appreciates the opportunity to respond to the ESMA consultation on the draft RTS on Margin Transparency requirements</w:t>
      </w:r>
      <w:r w:rsidRPr="00C75BED">
        <w:t xml:space="preserve"> and is s</w:t>
      </w:r>
      <w:r w:rsidR="002F47B9" w:rsidRPr="00C75BED">
        <w:t xml:space="preserve">upportive of ESMA’s efforts to increase transparency that assists market participants to further develop their liquidity management strategies. </w:t>
      </w:r>
      <w:r w:rsidRPr="00C75BED">
        <w:t>Cboe Clear</w:t>
      </w:r>
      <w:r w:rsidR="002F47B9" w:rsidRPr="00C75BED">
        <w:t xml:space="preserve"> strongly welcomes ESMA’s proposals on visibility and predictability of margin beyond the CCPs’ sphere, i.e. from clearing members (</w:t>
      </w:r>
      <w:r w:rsidRPr="00C75BED">
        <w:t>“</w:t>
      </w:r>
      <w:r w:rsidR="002F47B9" w:rsidRPr="00C75BED">
        <w:t>CMs</w:t>
      </w:r>
      <w:r w:rsidRPr="00C75BED">
        <w:t>”</w:t>
      </w:r>
      <w:r w:rsidR="002F47B9" w:rsidRPr="00C75BED">
        <w:t>) to clients, and from clients to indirect clients. As emphasised by a recent Bank of England report, it is through these channels that many of the liquidity pressures observed in moments of stress occur.</w:t>
      </w:r>
      <w:r w:rsidR="002F47B9" w:rsidRPr="00C75BED">
        <w:rPr>
          <w:rStyle w:val="FootnoteReference"/>
        </w:rPr>
        <w:footnoteReference w:id="2"/>
      </w:r>
    </w:p>
    <w:p w14:paraId="1554AB81" w14:textId="77777777" w:rsidR="002F47B9" w:rsidRPr="00C75BED" w:rsidRDefault="002F47B9" w:rsidP="002F47B9">
      <w:pPr>
        <w:spacing w:after="0" w:line="240" w:lineRule="auto"/>
      </w:pPr>
    </w:p>
    <w:p w14:paraId="2B30CEF0" w14:textId="07D517D8" w:rsidR="00A833EF" w:rsidRPr="00C75BED" w:rsidRDefault="12E6916A" w:rsidP="0028585A">
      <w:pPr>
        <w:spacing w:after="0" w:line="240" w:lineRule="auto"/>
        <w:rPr>
          <w:lang w:val="en-US"/>
        </w:rPr>
      </w:pPr>
      <w:r>
        <w:t xml:space="preserve">Notwithstanding the above, </w:t>
      </w:r>
      <w:r w:rsidR="20D369F8">
        <w:t>Cboe Clear</w:t>
      </w:r>
      <w:r>
        <w:t xml:space="preserve"> believes that it is crucial that ESMA’s proposals avoid </w:t>
      </w:r>
      <w:r w:rsidR="20D369F8">
        <w:t>inadvertently negatively impacting</w:t>
      </w:r>
      <w:r>
        <w:t xml:space="preserve"> CCP competitiveness</w:t>
      </w:r>
      <w:r w:rsidR="20D369F8">
        <w:t xml:space="preserve"> and the </w:t>
      </w:r>
      <w:r>
        <w:t>aim</w:t>
      </w:r>
      <w:r w:rsidR="20D369F8">
        <w:t>s</w:t>
      </w:r>
      <w:r>
        <w:t xml:space="preserve"> of EMIR 3. </w:t>
      </w:r>
      <w:r w:rsidR="58566734">
        <w:t>Cboe Clear</w:t>
      </w:r>
      <w:r>
        <w:t xml:space="preserve"> </w:t>
      </w:r>
      <w:r w:rsidR="58566734">
        <w:t xml:space="preserve">is </w:t>
      </w:r>
      <w:r>
        <w:t xml:space="preserve">already </w:t>
      </w:r>
      <w:r w:rsidR="20D369F8">
        <w:t xml:space="preserve">required to make available very detailed information </w:t>
      </w:r>
      <w:r>
        <w:t>to</w:t>
      </w:r>
      <w:r w:rsidR="58566734">
        <w:t xml:space="preserve"> its</w:t>
      </w:r>
      <w:r>
        <w:t xml:space="preserve"> CMs. </w:t>
      </w:r>
      <w:r w:rsidR="58566734">
        <w:t xml:space="preserve">In addition to having a margin simulator available to its CMs, Cboe Clear also discloses publicly on its website detailed descriptions of its margin methodologies, responds to due diligence questionnaires, </w:t>
      </w:r>
      <w:r w:rsidR="6BDC861D">
        <w:t xml:space="preserve">facilitates </w:t>
      </w:r>
      <w:r w:rsidR="58566734">
        <w:t>participation of</w:t>
      </w:r>
      <w:r w:rsidR="0DE92BD8">
        <w:t xml:space="preserve"> a representation of</w:t>
      </w:r>
      <w:r w:rsidR="58566734">
        <w:t xml:space="preserve"> CMs and clients in certain governance fora, publishes on a quarterly basis quantitative information (</w:t>
      </w:r>
      <w:r>
        <w:t>CPMI-IOSCO PQDs</w:t>
      </w:r>
      <w:r w:rsidR="58566734">
        <w:t>) and bi-annually qualitative information (PFMI self-assessment)</w:t>
      </w:r>
      <w:r>
        <w:t xml:space="preserve">. </w:t>
      </w:r>
      <w:r w:rsidR="58566734">
        <w:t xml:space="preserve">On the other hand, </w:t>
      </w:r>
      <w:r>
        <w:t xml:space="preserve">the extent to which all this information is </w:t>
      </w:r>
      <w:r w:rsidR="58566734">
        <w:t xml:space="preserve">consumed </w:t>
      </w:r>
      <w:r>
        <w:t>by market participants</w:t>
      </w:r>
      <w:r w:rsidR="0DE92BD8">
        <w:t xml:space="preserve"> is not clear</w:t>
      </w:r>
      <w:r>
        <w:t xml:space="preserve">. In the case of CCP margin simulators, </w:t>
      </w:r>
      <w:r w:rsidR="792303DF">
        <w:t>Cboe Clear’s CMs do not use the margin simulation tool made available to them to simulate margin</w:t>
      </w:r>
      <w:r w:rsidR="3B18C24D">
        <w:t xml:space="preserve"> requirements</w:t>
      </w:r>
      <w:r w:rsidR="792303DF">
        <w:t xml:space="preserve">. While </w:t>
      </w:r>
      <w:r w:rsidR="50409659">
        <w:t>a small handful of CMs will</w:t>
      </w:r>
      <w:r w:rsidR="2E62D597">
        <w:t xml:space="preserve"> occasionally</w:t>
      </w:r>
      <w:r w:rsidR="50409659">
        <w:t xml:space="preserve"> log in to check </w:t>
      </w:r>
      <w:r w:rsidR="38BC56D3">
        <w:t xml:space="preserve">their intraday margin requirements, </w:t>
      </w:r>
      <w:r w:rsidR="6A78599F">
        <w:t>CM</w:t>
      </w:r>
      <w:r w:rsidR="00F03D42">
        <w:t>s do not</w:t>
      </w:r>
      <w:r w:rsidR="6A78599F">
        <w:t xml:space="preserve"> utilise the tool to perform margin simulations</w:t>
      </w:r>
      <w:r w:rsidR="58566734">
        <w:t xml:space="preserve">. In fact, </w:t>
      </w:r>
      <w:r w:rsidR="19B5038E">
        <w:t xml:space="preserve">in </w:t>
      </w:r>
      <w:r w:rsidR="4A140E74">
        <w:t xml:space="preserve">its </w:t>
      </w:r>
      <w:r w:rsidR="19B5038E">
        <w:t xml:space="preserve">experience, </w:t>
      </w:r>
      <w:r w:rsidR="1F008620">
        <w:t>Cboe Clear’s</w:t>
      </w:r>
      <w:r w:rsidR="4A140E74">
        <w:t xml:space="preserve"> </w:t>
      </w:r>
      <w:r w:rsidR="58566734">
        <w:t xml:space="preserve">CMs </w:t>
      </w:r>
      <w:r w:rsidR="77A8A566">
        <w:t xml:space="preserve">either build their own in-house margin simulator or use those built by </w:t>
      </w:r>
      <w:r w:rsidR="58566734">
        <w:t>third-party vendo</w:t>
      </w:r>
      <w:r w:rsidR="77A8A566">
        <w:t xml:space="preserve">rs. </w:t>
      </w:r>
      <w:r w:rsidR="20D369F8" w:rsidRPr="7B9B9DA1">
        <w:rPr>
          <w:lang w:val="en-US"/>
        </w:rPr>
        <w:t>Moving forward with the RTS as drafted</w:t>
      </w:r>
      <w:r w:rsidR="69176F36" w:rsidRPr="7B9B9DA1">
        <w:rPr>
          <w:lang w:val="en-US"/>
        </w:rPr>
        <w:t>,</w:t>
      </w:r>
      <w:r w:rsidR="20D369F8" w:rsidRPr="7B9B9DA1">
        <w:rPr>
          <w:lang w:val="en-US"/>
        </w:rPr>
        <w:t xml:space="preserve"> risks exposing CCP intellectual property and proprietary information to reverse engineering, increases regulatory burden for CCPs and increases costs which likely lead to increased cost of clearing</w:t>
      </w:r>
      <w:r w:rsidR="2B086F3F" w:rsidRPr="7B9B9DA1">
        <w:rPr>
          <w:lang w:val="en-US"/>
        </w:rPr>
        <w:t>,</w:t>
      </w:r>
      <w:r w:rsidR="2FB956D8" w:rsidRPr="7B9B9DA1">
        <w:rPr>
          <w:lang w:val="en-US"/>
        </w:rPr>
        <w:t xml:space="preserve"> in parti</w:t>
      </w:r>
      <w:r w:rsidR="4CD3E6E7" w:rsidRPr="7B9B9DA1">
        <w:rPr>
          <w:lang w:val="en-US"/>
        </w:rPr>
        <w:t xml:space="preserve">cular </w:t>
      </w:r>
      <w:r w:rsidR="00522A98">
        <w:rPr>
          <w:lang w:val="en-US"/>
        </w:rPr>
        <w:t xml:space="preserve">with </w:t>
      </w:r>
      <w:r w:rsidR="4CD3E6E7" w:rsidRPr="7B9B9DA1">
        <w:rPr>
          <w:lang w:val="en-US"/>
        </w:rPr>
        <w:t>the margin simulator adding</w:t>
      </w:r>
      <w:r w:rsidR="00123D77">
        <w:rPr>
          <w:lang w:val="en-US"/>
        </w:rPr>
        <w:t xml:space="preserve"> </w:t>
      </w:r>
      <w:r w:rsidR="2B086F3F" w:rsidRPr="7B9B9DA1">
        <w:rPr>
          <w:lang w:val="en-US"/>
        </w:rPr>
        <w:t xml:space="preserve">little benefit due to </w:t>
      </w:r>
      <w:r w:rsidR="5E925869" w:rsidRPr="7B9B9DA1">
        <w:rPr>
          <w:lang w:val="en-US"/>
        </w:rPr>
        <w:t>little or no usage</w:t>
      </w:r>
      <w:r w:rsidR="20D369F8" w:rsidRPr="7B9B9DA1">
        <w:rPr>
          <w:lang w:val="en-US"/>
        </w:rPr>
        <w:t>.</w:t>
      </w:r>
      <w:r w:rsidR="5072D40E" w:rsidRPr="7B9B9DA1">
        <w:rPr>
          <w:lang w:val="en-US"/>
        </w:rPr>
        <w:t xml:space="preserve">  </w:t>
      </w:r>
    </w:p>
    <w:p w14:paraId="0DBFE51E" w14:textId="77777777" w:rsidR="002F47B9" w:rsidRPr="00C75BED" w:rsidRDefault="002F47B9" w:rsidP="002F47B9">
      <w:pPr>
        <w:spacing w:after="0" w:line="240" w:lineRule="auto"/>
      </w:pPr>
    </w:p>
    <w:p w14:paraId="15C56447" w14:textId="4747A1E6" w:rsidR="002F47B9" w:rsidRPr="00C75BED" w:rsidRDefault="20D369F8" w:rsidP="002F47B9">
      <w:pPr>
        <w:spacing w:after="0" w:line="240" w:lineRule="auto"/>
      </w:pPr>
      <w:r>
        <w:t>Cboe Clear</w:t>
      </w:r>
      <w:r w:rsidR="12E6916A">
        <w:t xml:space="preserve"> believes ESMA should take more a balanced approach, asking CCPs to disclose information only when it is not already available through other means or that are, in fact, used by </w:t>
      </w:r>
      <w:r w:rsidR="12E6916A">
        <w:lastRenderedPageBreak/>
        <w:t xml:space="preserve">market participants. </w:t>
      </w:r>
      <w:r w:rsidR="058D7946">
        <w:t xml:space="preserve">This revised approach should also provide for a transition period enabling CCPs sufficient time to build and implement the new requirements. </w:t>
      </w:r>
      <w:r w:rsidR="12E6916A">
        <w:t xml:space="preserve">Simple ways of achieving </w:t>
      </w:r>
      <w:r w:rsidR="0917347B">
        <w:t xml:space="preserve"> a revised approach</w:t>
      </w:r>
      <w:r w:rsidR="12E6916A">
        <w:t xml:space="preserve"> are:</w:t>
      </w:r>
    </w:p>
    <w:p w14:paraId="50A4A9FF" w14:textId="7F83C295" w:rsidR="002F47B9" w:rsidRPr="00C75BED" w:rsidRDefault="12E6916A" w:rsidP="002F47B9">
      <w:pPr>
        <w:pStyle w:val="ListParagraph"/>
        <w:numPr>
          <w:ilvl w:val="0"/>
          <w:numId w:val="38"/>
        </w:numPr>
        <w:spacing w:after="0" w:line="240" w:lineRule="auto"/>
      </w:pPr>
      <w:r w:rsidRPr="00C75BED">
        <w:t>not including proposals in this RTS that are not required by EMIR Level 1 (e.g. sensitivity testing) or already provided by other means (e.g. backtesting already disclosed in the CPMI-IOSCO quarterly PQDs)</w:t>
      </w:r>
      <w:r w:rsidR="002F47B9" w:rsidRPr="00C75BED">
        <w:rPr>
          <w:rStyle w:val="FootnoteReference"/>
        </w:rPr>
        <w:footnoteReference w:id="3"/>
      </w:r>
      <w:r w:rsidR="2D994059">
        <w:t>;</w:t>
      </w:r>
      <w:r w:rsidR="59A03E7C">
        <w:t xml:space="preserve"> and</w:t>
      </w:r>
    </w:p>
    <w:p w14:paraId="581A69F0" w14:textId="221ABD63" w:rsidR="002F47B9" w:rsidRPr="00C75BED" w:rsidRDefault="12E6916A" w:rsidP="002F47B9">
      <w:pPr>
        <w:pStyle w:val="ListParagraph"/>
        <w:numPr>
          <w:ilvl w:val="0"/>
          <w:numId w:val="38"/>
        </w:numPr>
        <w:spacing w:after="0" w:line="240" w:lineRule="auto"/>
      </w:pPr>
      <w:r>
        <w:t>not going beyond BCBS-CPMI-IOSCO guidelines on margin transparency which only require main/material add-ons to be included in the simulators (while ESMA’s proposal requires all margin add-ons) or stress scenarios (while ESMA’s proposal prescribes the type and minimum quantity of scenarios)</w:t>
      </w:r>
      <w:r w:rsidR="111CBDCC">
        <w:t>.</w:t>
      </w:r>
    </w:p>
    <w:p w14:paraId="7EDDA2AA" w14:textId="77777777" w:rsidR="002F47B9" w:rsidRDefault="002F47B9" w:rsidP="00F716D4"/>
    <w:p w14:paraId="7F986E69" w14:textId="77777777" w:rsidR="00FA4100" w:rsidRDefault="00BB1973" w:rsidP="00FA4100">
      <w:pPr>
        <w:pStyle w:val="Heading1"/>
      </w:pPr>
      <w:r>
        <w:t>Questions</w:t>
      </w:r>
      <w:bookmarkStart w:id="8" w:name="_Hlk124780170"/>
    </w:p>
    <w:bookmarkEnd w:id="7"/>
    <w:bookmarkEnd w:id="8"/>
    <w:p w14:paraId="127B4719" w14:textId="12D2CBC6" w:rsidR="00693907" w:rsidRPr="00B15006" w:rsidRDefault="00693907" w:rsidP="00693907">
      <w:pPr>
        <w:pStyle w:val="Questionstyle"/>
      </w:pPr>
      <w:r w:rsidRPr="00794163">
        <w:t>D</w:t>
      </w:r>
      <w:r w:rsidR="00047BE6" w:rsidRPr="00047BE6">
        <w:t>o you agree with the proposed information to be provided by the CCP on its margin model design and operations? Do you have other proposals as to which information could be provided under point (a) of Article 38(7) of EMIR</w:t>
      </w:r>
      <w:r w:rsidRPr="00B15006">
        <w:t xml:space="preserve">?    </w:t>
      </w:r>
    </w:p>
    <w:p w14:paraId="1E634CEC" w14:textId="51B9A8D4" w:rsidR="00693907" w:rsidRDefault="00693907" w:rsidP="00693907">
      <w:r>
        <w:t>&lt;ESMA_QUESTION_</w:t>
      </w:r>
      <w:r w:rsidR="005B277C">
        <w:t>MARG</w:t>
      </w:r>
      <w:r>
        <w:t>_1&gt;</w:t>
      </w:r>
    </w:p>
    <w:p w14:paraId="7F98F98D" w14:textId="44D96176" w:rsidR="002F47B9" w:rsidRPr="00C75BED" w:rsidRDefault="00900EE4" w:rsidP="002F47B9">
      <w:pPr>
        <w:contextualSpacing/>
      </w:pPr>
      <w:permStart w:id="910108688" w:edGrp="everyone"/>
      <w:r w:rsidRPr="00C75BED">
        <w:t>Cboe Clear</w:t>
      </w:r>
      <w:r w:rsidR="002F47B9" w:rsidRPr="00C75BED">
        <w:t xml:space="preserve"> supports EMIR 3’s ambition to enhance EU CCP’s competitiveness, and equally supports fostering market resilience through greater transparency towards end clients and</w:t>
      </w:r>
      <w:r w:rsidRPr="00C75BED">
        <w:t xml:space="preserve"> to promote fostering</w:t>
      </w:r>
      <w:r w:rsidR="002F47B9" w:rsidRPr="00C75BED">
        <w:t xml:space="preserve"> their preparedness. CCPs operating in the EU already facilitat</w:t>
      </w:r>
      <w:r w:rsidRPr="00C75BED">
        <w:t>e</w:t>
      </w:r>
      <w:r w:rsidR="002F47B9" w:rsidRPr="00C75BED">
        <w:t xml:space="preserve"> this by providing model information</w:t>
      </w:r>
      <w:r w:rsidRPr="00C75BED">
        <w:t xml:space="preserve"> pursuant to the </w:t>
      </w:r>
      <w:r w:rsidR="008739A3" w:rsidRPr="00C75BED">
        <w:t>L</w:t>
      </w:r>
      <w:r w:rsidRPr="00C75BED">
        <w:t>evel 1 EMIR article 38(7)</w:t>
      </w:r>
      <w:r w:rsidR="002F47B9" w:rsidRPr="00C75BED">
        <w:t xml:space="preserve">, </w:t>
      </w:r>
      <w:r w:rsidRPr="00C75BED">
        <w:t xml:space="preserve">and </w:t>
      </w:r>
      <w:r w:rsidR="002F47B9" w:rsidRPr="00C75BED">
        <w:t xml:space="preserve">margin simulation tools </w:t>
      </w:r>
      <w:r w:rsidRPr="00C75BED">
        <w:t xml:space="preserve">pursuant to the </w:t>
      </w:r>
      <w:r w:rsidR="008739A3" w:rsidRPr="00C75BED">
        <w:t>L</w:t>
      </w:r>
      <w:r w:rsidRPr="00C75BED">
        <w:t>evel 1 EMIR article 38(6)</w:t>
      </w:r>
      <w:r w:rsidR="002F47B9" w:rsidRPr="00C75BED">
        <w:t>,</w:t>
      </w:r>
      <w:r w:rsidRPr="00C75BED">
        <w:t xml:space="preserve"> as well as the CPMI-IOSCO PQDs </w:t>
      </w:r>
      <w:r w:rsidR="002F47B9" w:rsidRPr="00C75BED">
        <w:t>in addition to the variety of other means listed in the introduction.</w:t>
      </w:r>
    </w:p>
    <w:p w14:paraId="2AAA9514" w14:textId="77777777" w:rsidR="002F47B9" w:rsidRPr="00C75BED" w:rsidRDefault="002F47B9" w:rsidP="002F47B9">
      <w:pPr>
        <w:contextualSpacing/>
      </w:pPr>
    </w:p>
    <w:p w14:paraId="6D25E7AB" w14:textId="6524A63D" w:rsidR="002F47B9" w:rsidRPr="00C75BED" w:rsidRDefault="002F47B9" w:rsidP="002F47B9">
      <w:pPr>
        <w:contextualSpacing/>
      </w:pPr>
      <w:r w:rsidRPr="00C75BED">
        <w:t xml:space="preserve">It is </w:t>
      </w:r>
      <w:r w:rsidR="00920BA2" w:rsidRPr="00C75BED">
        <w:t>key</w:t>
      </w:r>
      <w:r w:rsidRPr="00C75BED">
        <w:t xml:space="preserve"> that supporting greater transparency should not come at the expense of introducing unnecessary burdens that hinder EU CCPs’ competitiveness</w:t>
      </w:r>
      <w:r w:rsidR="00900EE4" w:rsidRPr="00C75BED">
        <w:t xml:space="preserve"> and the </w:t>
      </w:r>
      <w:r w:rsidRPr="00C75BED">
        <w:t>objective</w:t>
      </w:r>
      <w:r w:rsidR="00900EE4" w:rsidRPr="00C75BED">
        <w:t>s</w:t>
      </w:r>
      <w:r w:rsidRPr="00C75BED">
        <w:t xml:space="preserve"> of EMIR 3.</w:t>
      </w:r>
    </w:p>
    <w:p w14:paraId="62358F4B" w14:textId="77777777" w:rsidR="002F47B9" w:rsidRPr="00C75BED" w:rsidRDefault="002F47B9" w:rsidP="002F47B9">
      <w:pPr>
        <w:contextualSpacing/>
      </w:pPr>
    </w:p>
    <w:p w14:paraId="3BC719F8" w14:textId="25C73892" w:rsidR="002F47B9" w:rsidRPr="00C75BED" w:rsidRDefault="002F47B9" w:rsidP="002F47B9">
      <w:pPr>
        <w:contextualSpacing/>
      </w:pPr>
      <w:r w:rsidRPr="00C75BED">
        <w:t>First, for the Margin Transparency RTS to be effective while avoiding such unnecessary burden, it should ensure that CCPs must only provide such information to Clearing Service Providers (</w:t>
      </w:r>
      <w:r w:rsidR="00920BA2" w:rsidRPr="00C75BED">
        <w:t>“</w:t>
      </w:r>
      <w:r w:rsidRPr="00C75BED">
        <w:t>CSPs</w:t>
      </w:r>
      <w:r w:rsidR="00920BA2" w:rsidRPr="00C75BED">
        <w:t>”</w:t>
      </w:r>
      <w:r w:rsidRPr="00C75BED">
        <w:t xml:space="preserve">), which the CSPs in turn provide their clients. Some </w:t>
      </w:r>
      <w:r w:rsidR="00920BA2" w:rsidRPr="00C75BED">
        <w:t>of the required</w:t>
      </w:r>
      <w:r w:rsidRPr="00C75BED">
        <w:t xml:space="preserve"> details </w:t>
      </w:r>
      <w:r w:rsidR="00920BA2" w:rsidRPr="00C75BED">
        <w:t xml:space="preserve">are only relevant </w:t>
      </w:r>
      <w:r w:rsidRPr="00C75BED">
        <w:t>for C</w:t>
      </w:r>
      <w:r w:rsidR="00920BA2" w:rsidRPr="00C75BED">
        <w:t>Ms</w:t>
      </w:r>
      <w:r w:rsidRPr="00C75BED">
        <w:t xml:space="preserve"> and would not support margin preparedness of end clients. In this context, we appreciate that, as already established in the Level 1 text of EMIR 3, ESMA respected that CCPs alone cannot enhance transparency. As CCPs have no contractual relationship with end clients, some information can only be provided by the </w:t>
      </w:r>
      <w:r w:rsidR="00920BA2" w:rsidRPr="00C75BED">
        <w:t>C</w:t>
      </w:r>
      <w:r w:rsidR="008739A3" w:rsidRPr="00C75BED">
        <w:t>SP</w:t>
      </w:r>
      <w:r w:rsidR="00920BA2" w:rsidRPr="00C75BED">
        <w:t xml:space="preserve"> </w:t>
      </w:r>
      <w:r w:rsidRPr="00C75BED">
        <w:t xml:space="preserve">to its client (e.g. additional add-ons charged by </w:t>
      </w:r>
      <w:r w:rsidR="00920BA2" w:rsidRPr="00C75BED">
        <w:t>C</w:t>
      </w:r>
      <w:r w:rsidR="008739A3" w:rsidRPr="00C75BED">
        <w:t>SP</w:t>
      </w:r>
      <w:r w:rsidR="00920BA2" w:rsidRPr="00C75BED">
        <w:t>s</w:t>
      </w:r>
      <w:r w:rsidRPr="00C75BED">
        <w:t xml:space="preserve">).  </w:t>
      </w:r>
    </w:p>
    <w:p w14:paraId="603C243F" w14:textId="77777777" w:rsidR="002F47B9" w:rsidRPr="00C75BED" w:rsidRDefault="002F47B9" w:rsidP="002F47B9">
      <w:pPr>
        <w:contextualSpacing/>
      </w:pPr>
    </w:p>
    <w:p w14:paraId="7A23C0C2" w14:textId="280148D4" w:rsidR="008739A3" w:rsidRPr="00C75BED" w:rsidRDefault="002F47B9" w:rsidP="002F47B9">
      <w:pPr>
        <w:contextualSpacing/>
      </w:pPr>
      <w:r>
        <w:lastRenderedPageBreak/>
        <w:t xml:space="preserve">Second, it should be ensured that CCPs are not mandated to reveal proprietary information.  Disclosing detailed information about the margin model’s methodology, mathematical specifications, and parameters could expose proprietary algorithms and intellectual property (IP) that CCPs have developed to maintain a competitive edge. Competitors or third parties could reverse-engineer these models, undermining the CCP’s market position. Furthermore, </w:t>
      </w:r>
      <w:r w:rsidR="00920BA2">
        <w:t>no safeguards can fully protect against exposure of sensitive commercial or operational data to unauthorised parties</w:t>
      </w:r>
      <w:r w:rsidR="008739A3">
        <w:t xml:space="preserve">. CMs, or third parties they share the information with, may inadvertently or deliberately </w:t>
      </w:r>
      <w:r w:rsidR="003A7067">
        <w:t xml:space="preserve">share </w:t>
      </w:r>
      <w:r w:rsidR="008739A3">
        <w:t xml:space="preserve">sensitive data. Consequently, CCPs may be disincentivised from innovating or refining their margin models if they fear losing their competitive advantage. This could stifle advancements in risk management practices, potentially harming market stability. ESMA </w:t>
      </w:r>
      <w:r w:rsidR="00553586">
        <w:t>should</w:t>
      </w:r>
      <w:r w:rsidR="008739A3">
        <w:t xml:space="preserve"> allow flexibility in the level of detail disclosed (e.g., high-level summaries rather than granular specifications) to balance transparency with IP protection.</w:t>
      </w:r>
    </w:p>
    <w:p w14:paraId="14460905" w14:textId="77777777" w:rsidR="002F47B9" w:rsidRPr="00C75BED" w:rsidRDefault="002F47B9" w:rsidP="002F47B9">
      <w:pPr>
        <w:contextualSpacing/>
      </w:pPr>
    </w:p>
    <w:p w14:paraId="5DD4BEE2" w14:textId="21464F62" w:rsidR="002F47B9" w:rsidRPr="00C75BED" w:rsidRDefault="12E6916A" w:rsidP="008739A3">
      <w:pPr>
        <w:contextualSpacing/>
      </w:pPr>
      <w:r>
        <w:t xml:space="preserve">Third, </w:t>
      </w:r>
      <w:r w:rsidR="52C0E2EB">
        <w:t xml:space="preserve">Cboe Clear </w:t>
      </w:r>
      <w:r>
        <w:t>believe</w:t>
      </w:r>
      <w:r w:rsidR="52C0E2EB">
        <w:t>s</w:t>
      </w:r>
      <w:r>
        <w:t xml:space="preserve"> that CCPs should only be requested to provide information that is required and useful to enhance margin preparedness.</w:t>
      </w:r>
      <w:r w:rsidR="2F56E149">
        <w:t xml:space="preserve"> Pricing and market data sources used by the CCP and the frequency of the updates (point e) are not salient </w:t>
      </w:r>
      <w:r w:rsidR="2F56E149" w:rsidRPr="7B9B9DA1">
        <w:rPr>
          <w:lang w:val="en-US"/>
        </w:rPr>
        <w:t xml:space="preserve">to understanding the margin model components and how they work. The source of pricing and the frequency of pricing models sits outside the parameters of the rationale underpinning the obligation. The same can be said of the requirement around operational arrangements (point f) which is also duplicative - clearing rules already contain such information. Cboe Clear considers </w:t>
      </w:r>
      <w:r w:rsidR="2F56E149">
        <w:t xml:space="preserve">documentation that </w:t>
      </w:r>
      <w:r>
        <w:t>focus</w:t>
      </w:r>
      <w:r w:rsidR="432A2A88">
        <w:t>es</w:t>
      </w:r>
      <w:r>
        <w:t xml:space="preserve"> on key model characteristics as the most useful</w:t>
      </w:r>
      <w:r w:rsidR="0537D740">
        <w:t xml:space="preserve"> to enhance margin preparedness</w:t>
      </w:r>
      <w:r>
        <w:t xml:space="preserve">.  </w:t>
      </w:r>
      <w:r w:rsidR="52C0E2EB">
        <w:t>Furthermore,</w:t>
      </w:r>
      <w:r>
        <w:t xml:space="preserve"> </w:t>
      </w:r>
      <w:r w:rsidR="00E11306">
        <w:t xml:space="preserve">governance requirements under EMIR already provide for the participation of </w:t>
      </w:r>
      <w:r w:rsidR="00110EC1">
        <w:t>CMs and clients in the CCP’s risk committee</w:t>
      </w:r>
      <w:r w:rsidR="00B46B9C">
        <w:t xml:space="preserve">. </w:t>
      </w:r>
      <w:r w:rsidR="00E16EC0">
        <w:t xml:space="preserve">A description of </w:t>
      </w:r>
      <w:r w:rsidR="00457075">
        <w:t xml:space="preserve">the governance procedures </w:t>
      </w:r>
      <w:r w:rsidR="00E82CF9">
        <w:t xml:space="preserve">related to the review of the initial margin model of the CCP </w:t>
      </w:r>
      <w:r w:rsidR="00E16EC0">
        <w:t xml:space="preserve">and </w:t>
      </w:r>
      <w:r w:rsidR="00E82CF9">
        <w:t xml:space="preserve">the governance </w:t>
      </w:r>
      <w:r w:rsidR="00E16EC0">
        <w:t xml:space="preserve">process </w:t>
      </w:r>
      <w:r w:rsidR="00E82CF9">
        <w:t xml:space="preserve">itself </w:t>
      </w:r>
      <w:r>
        <w:t xml:space="preserve">(point g) </w:t>
      </w:r>
      <w:r w:rsidR="37E9C27E">
        <w:t>is not salient to understanding the margin model components and how they work</w:t>
      </w:r>
      <w:r>
        <w:t>.</w:t>
      </w:r>
    </w:p>
    <w:p w14:paraId="45ABDB8A" w14:textId="77777777" w:rsidR="002F47B9" w:rsidRPr="00C75BED" w:rsidRDefault="002F47B9" w:rsidP="002F47B9">
      <w:pPr>
        <w:contextualSpacing/>
      </w:pPr>
    </w:p>
    <w:p w14:paraId="6D120523" w14:textId="77777777" w:rsidR="002F47B9" w:rsidRPr="00C75BED" w:rsidRDefault="002F47B9" w:rsidP="002F47B9">
      <w:pPr>
        <w:contextualSpacing/>
      </w:pPr>
      <w:r w:rsidRPr="00C75BED">
        <w:t>We therefore recommend that:</w:t>
      </w:r>
    </w:p>
    <w:p w14:paraId="675BFEE8" w14:textId="4D16BE3B" w:rsidR="002F47B9" w:rsidRPr="00C75BED" w:rsidRDefault="002F47B9" w:rsidP="002F47B9">
      <w:pPr>
        <w:pStyle w:val="ListParagraph"/>
        <w:numPr>
          <w:ilvl w:val="0"/>
          <w:numId w:val="39"/>
        </w:numPr>
        <w:spacing w:after="160" w:line="259" w:lineRule="auto"/>
      </w:pPr>
      <w:r w:rsidRPr="00C75BED">
        <w:rPr>
          <w:b/>
          <w:bCs/>
        </w:rPr>
        <w:t>General:</w:t>
      </w:r>
      <w:r w:rsidRPr="00C75BED">
        <w:t xml:space="preserve"> </w:t>
      </w:r>
      <w:r w:rsidR="007F4313">
        <w:t xml:space="preserve">Paragraph 13 of the consultation paper states that CCPs should provide </w:t>
      </w:r>
      <w:r w:rsidRPr="00C75BED">
        <w:t>a “detailed description of the model”</w:t>
      </w:r>
      <w:r w:rsidR="007F4313">
        <w:t xml:space="preserve">. The focus should, however, be on the </w:t>
      </w:r>
      <w:r w:rsidRPr="00C75BED">
        <w:t xml:space="preserve">readability and useability of the model description for end clients. </w:t>
      </w:r>
      <w:r w:rsidR="00500D36">
        <w:t>This would allow meeting the objective of the article while avoiding unnecessary burden.</w:t>
      </w:r>
    </w:p>
    <w:p w14:paraId="4F4EF966" w14:textId="4E15F15A" w:rsidR="002F47B9" w:rsidRPr="00C75BED" w:rsidRDefault="002F47B9" w:rsidP="002F47B9">
      <w:pPr>
        <w:pStyle w:val="ListParagraph"/>
        <w:numPr>
          <w:ilvl w:val="0"/>
          <w:numId w:val="39"/>
        </w:numPr>
        <w:spacing w:after="160" w:line="259" w:lineRule="auto"/>
      </w:pPr>
      <w:r w:rsidRPr="00C75BED">
        <w:rPr>
          <w:b/>
          <w:bCs/>
        </w:rPr>
        <w:t xml:space="preserve">Remove governance aspects requirement (point g): </w:t>
      </w:r>
      <w:r w:rsidR="00B66D23" w:rsidRPr="00DF2CF4">
        <w:t>CCPs are already required</w:t>
      </w:r>
      <w:r w:rsidR="00B66D23">
        <w:rPr>
          <w:b/>
          <w:bCs/>
        </w:rPr>
        <w:t xml:space="preserve"> </w:t>
      </w:r>
      <w:r w:rsidR="0003234B">
        <w:t xml:space="preserve">to involve CMs </w:t>
      </w:r>
      <w:r w:rsidR="00B66D23">
        <w:t xml:space="preserve">and clients </w:t>
      </w:r>
      <w:r w:rsidR="0003234B">
        <w:t>in governance processes and provide notice periods for model changes</w:t>
      </w:r>
      <w:r w:rsidR="00847598">
        <w:t>. A description of such processes</w:t>
      </w:r>
      <w:r w:rsidR="0003234B">
        <w:t xml:space="preserve"> is not salient to understanding the margin model components and how they work</w:t>
      </w:r>
      <w:r w:rsidR="00814B54">
        <w:t>.</w:t>
      </w:r>
      <w:r w:rsidR="0003234B">
        <w:t xml:space="preserve"> </w:t>
      </w:r>
      <w:r w:rsidRPr="00C75BED">
        <w:t>Furthermore, CCPs already provide high-level information on governance processes as part of their CPMI-IOSCO PFMI Self-Assessments</w:t>
      </w:r>
      <w:r w:rsidRPr="00C75BED">
        <w:rPr>
          <w:rStyle w:val="FootnoteReference"/>
        </w:rPr>
        <w:footnoteReference w:id="4"/>
      </w:r>
      <w:r w:rsidRPr="00C75BED">
        <w:t xml:space="preserve">. We therefore suggest removing point (g). </w:t>
      </w:r>
    </w:p>
    <w:p w14:paraId="3A2B4B25" w14:textId="06240F5C" w:rsidR="008739A3" w:rsidRPr="00C75BED" w:rsidRDefault="008739A3" w:rsidP="002F47B9">
      <w:pPr>
        <w:pStyle w:val="ListParagraph"/>
        <w:numPr>
          <w:ilvl w:val="0"/>
          <w:numId w:val="39"/>
        </w:numPr>
        <w:spacing w:after="160" w:line="259" w:lineRule="auto"/>
      </w:pPr>
      <w:r w:rsidRPr="00C75BED">
        <w:rPr>
          <w:b/>
          <w:bCs/>
        </w:rPr>
        <w:lastRenderedPageBreak/>
        <w:t xml:space="preserve">Remove disclosure of pricing and market data sources (point e): </w:t>
      </w:r>
      <w:r w:rsidR="00B30E6D" w:rsidRPr="00C75BED">
        <w:t xml:space="preserve">Pricing and market data sources used by the CCP and the frequency of the updates are not salient </w:t>
      </w:r>
      <w:r w:rsidR="00B30E6D" w:rsidRPr="00C75BED">
        <w:rPr>
          <w:lang w:val="en-US"/>
        </w:rPr>
        <w:t>to understanding the margin model components and how they work. Furthermore, pricing and market data sources</w:t>
      </w:r>
      <w:r w:rsidR="00221BDD">
        <w:rPr>
          <w:lang w:val="en-US"/>
        </w:rPr>
        <w:t xml:space="preserve"> could</w:t>
      </w:r>
      <w:r w:rsidR="00B30E6D" w:rsidRPr="00C75BED">
        <w:rPr>
          <w:lang w:val="en-US"/>
        </w:rPr>
        <w:t xml:space="preserve"> comprise sensitive commercial data</w:t>
      </w:r>
      <w:r w:rsidR="00221BDD">
        <w:rPr>
          <w:lang w:val="en-US"/>
        </w:rPr>
        <w:t xml:space="preserve"> and should not be required to be disclosed.</w:t>
      </w:r>
    </w:p>
    <w:p w14:paraId="7D6F0529" w14:textId="77777777" w:rsidR="002F47B9" w:rsidRPr="00C75BED" w:rsidRDefault="002F47B9" w:rsidP="002F47B9">
      <w:pPr>
        <w:contextualSpacing/>
        <w:rPr>
          <w:color w:val="00B050"/>
        </w:rPr>
      </w:pPr>
    </w:p>
    <w:p w14:paraId="2725E1CB" w14:textId="3ADC00CB" w:rsidR="002F47B9" w:rsidRPr="00C75BED" w:rsidRDefault="00CD4E23" w:rsidP="002F47B9">
      <w:pPr>
        <w:contextualSpacing/>
      </w:pPr>
      <w:r>
        <w:t>T</w:t>
      </w:r>
      <w:r w:rsidR="002F47B9" w:rsidRPr="00C75BED">
        <w:t xml:space="preserve">o </w:t>
      </w:r>
      <w:r w:rsidR="00107072">
        <w:t>help safeguard</w:t>
      </w:r>
      <w:r w:rsidR="002F47B9" w:rsidRPr="00C75BED">
        <w:t xml:space="preserve"> the competitiveness of EU CCPs</w:t>
      </w:r>
      <w:r>
        <w:t xml:space="preserve">, </w:t>
      </w:r>
      <w:r w:rsidRPr="00C75BED">
        <w:t xml:space="preserve">ESMA could </w:t>
      </w:r>
      <w:r>
        <w:t xml:space="preserve">perhaps </w:t>
      </w:r>
      <w:r w:rsidRPr="00C75BED">
        <w:t xml:space="preserve">also consider </w:t>
      </w:r>
      <w:r w:rsidR="00F42D41" w:rsidRPr="00C75BED">
        <w:t>conducting impact assessments</w:t>
      </w:r>
      <w:r w:rsidR="00F42D41">
        <w:t xml:space="preserve"> and</w:t>
      </w:r>
      <w:r w:rsidR="00F42D41" w:rsidRPr="00C75BED">
        <w:t xml:space="preserve"> </w:t>
      </w:r>
      <w:r w:rsidRPr="00C75BED">
        <w:t>aligning EU and UK requirements to minimize cross-border challenge</w:t>
      </w:r>
      <w:r w:rsidR="00F42D41">
        <w:t>s</w:t>
      </w:r>
      <w:r w:rsidR="002F47B9" w:rsidRPr="00C75BED">
        <w:t xml:space="preserve">. </w:t>
      </w:r>
    </w:p>
    <w:p w14:paraId="7353F1CC" w14:textId="77777777" w:rsidR="002F47B9" w:rsidRPr="00C75BED" w:rsidRDefault="002F47B9" w:rsidP="002F47B9">
      <w:pPr>
        <w:contextualSpacing/>
      </w:pPr>
    </w:p>
    <w:p w14:paraId="76702321" w14:textId="2517334E" w:rsidR="002F47B9" w:rsidRPr="00C75BED" w:rsidRDefault="12E6916A" w:rsidP="002F47B9">
      <w:pPr>
        <w:contextualSpacing/>
      </w:pPr>
      <w:r>
        <w:t xml:space="preserve">It should be </w:t>
      </w:r>
      <w:r w:rsidR="2EBBD7C1">
        <w:t>recognized</w:t>
      </w:r>
      <w:r>
        <w:t xml:space="preserve"> that CCPs and CSPs alike will need time to implement the requirements</w:t>
      </w:r>
      <w:r w:rsidR="2EBBD7C1">
        <w:t xml:space="preserve"> set out in the RTS</w:t>
      </w:r>
      <w:r>
        <w:t>, in particular the required margin simulation tool</w:t>
      </w:r>
      <w:r w:rsidR="2B7B6956">
        <w:t xml:space="preserve"> which requires software and IT systems changes</w:t>
      </w:r>
      <w:r>
        <w:t xml:space="preserve">, </w:t>
      </w:r>
      <w:r w:rsidR="2EBBD7C1">
        <w:t xml:space="preserve">and therefore the requirements </w:t>
      </w:r>
      <w:r>
        <w:t>should only go into effect at least 1</w:t>
      </w:r>
      <w:r w:rsidR="0C239206">
        <w:t>8</w:t>
      </w:r>
      <w:r>
        <w:t xml:space="preserve"> months after final publication as an absolute minimum.</w:t>
      </w:r>
    </w:p>
    <w:permEnd w:id="910108688"/>
    <w:p w14:paraId="7D4640BC" w14:textId="5719A886" w:rsidR="00693907" w:rsidRDefault="00693907" w:rsidP="00693907">
      <w:r>
        <w:t>&lt;ESMA_QUESTION_</w:t>
      </w:r>
      <w:r w:rsidR="005B277C">
        <w:t>MARG</w:t>
      </w:r>
      <w:r>
        <w:t>_1&gt;</w:t>
      </w:r>
    </w:p>
    <w:p w14:paraId="0B2E60F7" w14:textId="77777777" w:rsidR="00693907" w:rsidRDefault="00693907" w:rsidP="00693907"/>
    <w:p w14:paraId="0D4A902B" w14:textId="0FD03075" w:rsidR="00693907" w:rsidRPr="00C57036" w:rsidRDefault="00693907" w:rsidP="00693907">
      <w:pPr>
        <w:pStyle w:val="Questionstyle"/>
      </w:pPr>
      <w:r w:rsidRPr="00054AAF">
        <w:t xml:space="preserve">Do </w:t>
      </w:r>
      <w:r w:rsidR="00DF5689" w:rsidRPr="00DF5689">
        <w:t xml:space="preserve">you agree with the proposed information to be provided by the CCP on the margin model assumptions and limitations? Do you have other proposals as to which information could be provided under </w:t>
      </w:r>
      <w:r w:rsidR="009908F6">
        <w:t xml:space="preserve">point </w:t>
      </w:r>
      <w:r w:rsidR="00DF5689" w:rsidRPr="00DF5689">
        <w:t>(b) of Article 38(7) of EMIR</w:t>
      </w:r>
      <w:r w:rsidRPr="00C57036">
        <w:t xml:space="preserve">?    </w:t>
      </w:r>
    </w:p>
    <w:p w14:paraId="00896A16" w14:textId="4F58C017" w:rsidR="00693907" w:rsidRDefault="00693907" w:rsidP="00693907">
      <w:r>
        <w:t>&lt;ESMA_QUESTION_</w:t>
      </w:r>
      <w:r w:rsidR="005B277C">
        <w:t>MARG</w:t>
      </w:r>
      <w:r>
        <w:t>_2&gt;</w:t>
      </w:r>
    </w:p>
    <w:p w14:paraId="33182D0E" w14:textId="55D4B650" w:rsidR="002F47B9" w:rsidRPr="00C75BED" w:rsidRDefault="002F47B9" w:rsidP="002F47B9">
      <w:permStart w:id="834943991" w:edGrp="everyone"/>
      <w:r w:rsidRPr="00C75BED">
        <w:t xml:space="preserve">As outlined previously, </w:t>
      </w:r>
      <w:r w:rsidR="00903299" w:rsidRPr="00C75BED">
        <w:t>Cboe Clear</w:t>
      </w:r>
      <w:r w:rsidRPr="00C75BED">
        <w:t xml:space="preserve"> is in general supportive of making information available that support</w:t>
      </w:r>
      <w:r w:rsidR="00903299" w:rsidRPr="00C75BED">
        <w:t>s</w:t>
      </w:r>
      <w:r w:rsidRPr="00C75BED">
        <w:t xml:space="preserve"> clients to prepare for stressed market conditions. However, excessive level</w:t>
      </w:r>
      <w:r w:rsidR="00903299" w:rsidRPr="00C75BED">
        <w:t>s</w:t>
      </w:r>
      <w:r w:rsidRPr="00C75BED">
        <w:t xml:space="preserve"> of detail </w:t>
      </w:r>
      <w:r w:rsidR="00903A6A">
        <w:t>may not be of much</w:t>
      </w:r>
      <w:r w:rsidR="00903A6A" w:rsidRPr="00C75BED">
        <w:t xml:space="preserve"> </w:t>
      </w:r>
      <w:r w:rsidRPr="00C75BED">
        <w:t xml:space="preserve">practical value for clients and constrain CCPs in their ability to adapt margin models or introduce improvements in a timely manner. </w:t>
      </w:r>
      <w:r w:rsidR="002314E1">
        <w:t>Therefore, a</w:t>
      </w:r>
      <w:r w:rsidRPr="00C75BED">
        <w:t xml:space="preserve"> degree of flexibility should be preserved to ensure </w:t>
      </w:r>
      <w:r w:rsidR="00903299" w:rsidRPr="00C75BED">
        <w:t xml:space="preserve">CCP </w:t>
      </w:r>
      <w:r w:rsidRPr="00C75BED">
        <w:t xml:space="preserve">responsiveness to market developments. </w:t>
      </w:r>
    </w:p>
    <w:p w14:paraId="30BECBC8" w14:textId="2A5E0C5D" w:rsidR="002F47B9" w:rsidRPr="00C75BED" w:rsidRDefault="002F47B9" w:rsidP="002F47B9">
      <w:r w:rsidRPr="00C75BED">
        <w:t>Overall</w:t>
      </w:r>
      <w:r w:rsidR="002314E1">
        <w:t>,</w:t>
      </w:r>
      <w:r w:rsidRPr="00C75BED">
        <w:t xml:space="preserve"> </w:t>
      </w:r>
      <w:r w:rsidR="00903299" w:rsidRPr="00C75BED">
        <w:t>Cboe Clear</w:t>
      </w:r>
      <w:r w:rsidRPr="00C75BED">
        <w:t xml:space="preserve"> believes that the requirements proposed under RTS Article 2 (i.e. a comprehensive list of key assumptions, limitations, potential breach events, and qualitative/quantitative impacts, performance data, backtesting, and sensitivity testing results) </w:t>
      </w:r>
      <w:r w:rsidR="00903299" w:rsidRPr="00C75BED">
        <w:t>will</w:t>
      </w:r>
      <w:r w:rsidRPr="00C75BED">
        <w:t xml:space="preserve"> place a significant additional operational and analytical burden on CCPs without </w:t>
      </w:r>
      <w:r w:rsidR="005D3042">
        <w:t xml:space="preserve">realising </w:t>
      </w:r>
      <w:r w:rsidRPr="00C75BED">
        <w:t>the expected benefit</w:t>
      </w:r>
      <w:r w:rsidR="006A7D3F">
        <w:t xml:space="preserve">. </w:t>
      </w:r>
      <w:r w:rsidRPr="00C75BED">
        <w:t>Specifically:</w:t>
      </w:r>
    </w:p>
    <w:p w14:paraId="41255422" w14:textId="77777777" w:rsidR="002F47B9" w:rsidRPr="00C75BED" w:rsidRDefault="002F47B9" w:rsidP="002F47B9">
      <w:pPr>
        <w:rPr>
          <w:u w:val="single"/>
        </w:rPr>
      </w:pPr>
      <w:r w:rsidRPr="00C75BED">
        <w:rPr>
          <w:u w:val="single"/>
        </w:rPr>
        <w:t>Paragraph 2</w:t>
      </w:r>
    </w:p>
    <w:p w14:paraId="50197E35" w14:textId="2299E7AA" w:rsidR="002F47B9" w:rsidRPr="00C75BED" w:rsidRDefault="12E6916A" w:rsidP="002F47B9">
      <w:pPr>
        <w:pStyle w:val="ListParagraph"/>
        <w:numPr>
          <w:ilvl w:val="0"/>
          <w:numId w:val="40"/>
        </w:numPr>
        <w:spacing w:after="160" w:line="256" w:lineRule="auto"/>
      </w:pPr>
      <w:r w:rsidRPr="7B9B9DA1">
        <w:rPr>
          <w:b/>
          <w:bCs/>
        </w:rPr>
        <w:t>Sensitivity results:</w:t>
      </w:r>
      <w:r>
        <w:t xml:space="preserve"> </w:t>
      </w:r>
      <w:r w:rsidR="437A04E4" w:rsidRPr="00DA50F9">
        <w:t xml:space="preserve">Sensitivity testing is not a margin calculation procedure, as such </w:t>
      </w:r>
      <w:r w:rsidR="2E5004F4">
        <w:t>s</w:t>
      </w:r>
      <w:r>
        <w:t>ensitivity result disclosure</w:t>
      </w:r>
      <w:r w:rsidR="60FF19D6">
        <w:t xml:space="preserve"> to CMs</w:t>
      </w:r>
      <w:r>
        <w:t xml:space="preserve">  </w:t>
      </w:r>
      <w:r w:rsidR="23756E34">
        <w:t>is</w:t>
      </w:r>
      <w:r w:rsidR="00FF619F">
        <w:t xml:space="preserve"> </w:t>
      </w:r>
      <w:r>
        <w:t>not  useful as a margin preparedness tool. Model re-parameterisation performed as part of sensitivity test</w:t>
      </w:r>
      <w:r w:rsidR="008B5299">
        <w:t>ing</w:t>
      </w:r>
      <w:r>
        <w:t xml:space="preserve"> </w:t>
      </w:r>
      <w:r w:rsidR="76487477">
        <w:t>mainly informs CCPs as to the appropriateness of settings for certain margin parameters in the context of model develop</w:t>
      </w:r>
      <w:r w:rsidR="76487477">
        <w:lastRenderedPageBreak/>
        <w:t>ment and maintenance.</w:t>
      </w:r>
      <w:r>
        <w:t xml:space="preserve"> </w:t>
      </w:r>
      <w:r w:rsidR="50EFE2C8">
        <w:t>S</w:t>
      </w:r>
      <w:r>
        <w:t xml:space="preserve">uch requirement would result in additional and unnecessary burden for CCPs while not being beneficial for </w:t>
      </w:r>
      <w:r w:rsidR="40BE2E4A">
        <w:t>CMs</w:t>
      </w:r>
      <w:r w:rsidR="1AF0FABD">
        <w:t>’</w:t>
      </w:r>
      <w:r w:rsidR="0125639A">
        <w:t xml:space="preserve"> </w:t>
      </w:r>
      <w:r w:rsidR="77284CD7">
        <w:t xml:space="preserve">margin and </w:t>
      </w:r>
      <w:r w:rsidR="0125639A">
        <w:t>liquidity preparedness</w:t>
      </w:r>
      <w:r>
        <w:t xml:space="preserve">. Point 2(b) should therefore be </w:t>
      </w:r>
      <w:r w:rsidR="15705B04">
        <w:t>removed</w:t>
      </w:r>
      <w:r>
        <w:t>.</w:t>
      </w:r>
      <w:r w:rsidR="4CD2F844">
        <w:t xml:space="preserve"> </w:t>
      </w:r>
    </w:p>
    <w:p w14:paraId="624CA34E" w14:textId="0AF6BE97" w:rsidR="00C23DB8" w:rsidRPr="00C23DB8" w:rsidRDefault="002F47B9" w:rsidP="002F47B9">
      <w:pPr>
        <w:pStyle w:val="ListParagraph"/>
        <w:numPr>
          <w:ilvl w:val="0"/>
          <w:numId w:val="40"/>
        </w:numPr>
        <w:spacing w:after="160" w:line="256" w:lineRule="auto"/>
        <w:rPr>
          <w:rFonts w:ascii="Ebrima" w:hAnsi="Ebrima"/>
          <w:color w:val="000000" w:themeColor="text1"/>
        </w:rPr>
      </w:pPr>
      <w:r w:rsidRPr="00C75BED">
        <w:rPr>
          <w:b/>
          <w:bCs/>
        </w:rPr>
        <w:t>B</w:t>
      </w:r>
      <w:r w:rsidRPr="00C75BED">
        <w:rPr>
          <w:b/>
          <w:bCs/>
          <w:color w:val="000000" w:themeColor="text1"/>
        </w:rPr>
        <w:t xml:space="preserve">acktesting: </w:t>
      </w:r>
      <w:r w:rsidRPr="00C75BED">
        <w:rPr>
          <w:color w:val="000000" w:themeColor="text1"/>
        </w:rPr>
        <w:t xml:space="preserve">Backtesting is already required by regulation (as outlined in the text of the article this is already </w:t>
      </w:r>
      <w:r w:rsidR="00565B1E">
        <w:rPr>
          <w:color w:val="000000" w:themeColor="text1"/>
        </w:rPr>
        <w:t>set out</w:t>
      </w:r>
      <w:r w:rsidRPr="00C75BED">
        <w:rPr>
          <w:color w:val="000000" w:themeColor="text1"/>
        </w:rPr>
        <w:t xml:space="preserve"> </w:t>
      </w:r>
      <w:r w:rsidR="00565B1E">
        <w:rPr>
          <w:color w:val="000000" w:themeColor="text1"/>
        </w:rPr>
        <w:t xml:space="preserve">in </w:t>
      </w:r>
      <w:r w:rsidRPr="00C75BED">
        <w:rPr>
          <w:color w:val="000000" w:themeColor="text1"/>
        </w:rPr>
        <w:t>Article 49(5) of the Commission Delegated Regulation 153/2013), and provided in the quarterly PQD disclosures. Furthermore, Art. 49(4) and (5) of  EMIR RTS No 648/2012</w:t>
      </w:r>
      <w:r w:rsidRPr="00C75BED">
        <w:rPr>
          <w:rStyle w:val="FootnoteReference"/>
          <w:color w:val="000000" w:themeColor="text1"/>
        </w:rPr>
        <w:footnoteReference w:id="5"/>
      </w:r>
      <w:r w:rsidRPr="00C75BED">
        <w:rPr>
          <w:color w:val="000000" w:themeColor="text1"/>
        </w:rPr>
        <w:t xml:space="preserve"> do not give</w:t>
      </w:r>
      <w:r w:rsidR="00C23DB8" w:rsidRPr="00C75BED">
        <w:rPr>
          <w:color w:val="000000" w:themeColor="text1"/>
        </w:rPr>
        <w:t xml:space="preserve"> a</w:t>
      </w:r>
      <w:r w:rsidRPr="00C75BED">
        <w:rPr>
          <w:color w:val="000000" w:themeColor="text1"/>
        </w:rPr>
        <w:t xml:space="preserve"> mandate to CCPs to disclose such detailed information, by stating that a</w:t>
      </w:r>
      <w:r w:rsidRPr="00C75BED">
        <w:rPr>
          <w:i/>
          <w:iCs/>
          <w:color w:val="000000" w:themeColor="text1"/>
        </w:rPr>
        <w:t xml:space="preserve"> </w:t>
      </w:r>
      <w:r w:rsidRPr="00C75BED">
        <w:rPr>
          <w:color w:val="000000" w:themeColor="text1"/>
        </w:rPr>
        <w:t xml:space="preserve">CCP shall periodically report to the risk committee its back testing results and analysis </w:t>
      </w:r>
      <w:r w:rsidRPr="00C75BED">
        <w:rPr>
          <w:i/>
          <w:iCs/>
          <w:color w:val="000000" w:themeColor="text1"/>
        </w:rPr>
        <w:t>“in a form that does not breach confidentiality […]”</w:t>
      </w:r>
      <w:r w:rsidRPr="00C75BED">
        <w:rPr>
          <w:color w:val="000000" w:themeColor="text1"/>
        </w:rPr>
        <w:t xml:space="preserve"> and, regarding </w:t>
      </w:r>
      <w:r w:rsidR="00C23DB8" w:rsidRPr="00C75BED">
        <w:rPr>
          <w:color w:val="000000" w:themeColor="text1"/>
        </w:rPr>
        <w:t>CMs</w:t>
      </w:r>
      <w:r w:rsidRPr="00C75BED">
        <w:rPr>
          <w:color w:val="000000" w:themeColor="text1"/>
        </w:rPr>
        <w:t xml:space="preserve"> and clients,</w:t>
      </w:r>
      <w:r w:rsidRPr="00C75BED">
        <w:rPr>
          <w:i/>
          <w:iCs/>
          <w:color w:val="000000" w:themeColor="text1"/>
        </w:rPr>
        <w:t xml:space="preserve"> “such information shall be aggregated in a form that does not breach confidentiality”.</w:t>
      </w:r>
      <w:r w:rsidRPr="00C75BED">
        <w:rPr>
          <w:color w:val="000000" w:themeColor="text1"/>
        </w:rPr>
        <w:t xml:space="preserve">  As such</w:t>
      </w:r>
      <w:r w:rsidR="00D025CE">
        <w:rPr>
          <w:color w:val="000000" w:themeColor="text1"/>
        </w:rPr>
        <w:t>, to ensure proportionality and avoid duplication, Cboe Clear supports</w:t>
      </w:r>
      <w:r w:rsidRPr="00C75BED">
        <w:rPr>
          <w:color w:val="000000" w:themeColor="text1"/>
        </w:rPr>
        <w:t xml:space="preserve"> </w:t>
      </w:r>
      <w:r w:rsidR="00C445B7">
        <w:rPr>
          <w:color w:val="000000" w:themeColor="text1"/>
        </w:rPr>
        <w:t>the</w:t>
      </w:r>
      <w:r w:rsidR="00C445B7" w:rsidRPr="00C75BED">
        <w:rPr>
          <w:color w:val="000000" w:themeColor="text1"/>
        </w:rPr>
        <w:t xml:space="preserve"> </w:t>
      </w:r>
      <w:r w:rsidRPr="00C75BED">
        <w:rPr>
          <w:color w:val="000000" w:themeColor="text1"/>
        </w:rPr>
        <w:t>removal</w:t>
      </w:r>
      <w:r w:rsidR="00C445B7">
        <w:rPr>
          <w:color w:val="000000" w:themeColor="text1"/>
        </w:rPr>
        <w:t xml:space="preserve"> of this requirement</w:t>
      </w:r>
      <w:r w:rsidRPr="00C75BED">
        <w:rPr>
          <w:color w:val="000000" w:themeColor="text1"/>
        </w:rPr>
        <w:t>.</w:t>
      </w:r>
      <w:r w:rsidR="00C23DB8" w:rsidRPr="00C75BED">
        <w:t xml:space="preserve"> </w:t>
      </w:r>
    </w:p>
    <w:p w14:paraId="7D0B99A2" w14:textId="4FE0C070" w:rsidR="002F47B9" w:rsidRPr="00D22D48" w:rsidRDefault="00C23DB8" w:rsidP="002F47B9">
      <w:pPr>
        <w:pStyle w:val="ListParagraph"/>
        <w:numPr>
          <w:ilvl w:val="0"/>
          <w:numId w:val="40"/>
        </w:numPr>
        <w:spacing w:after="160" w:line="256" w:lineRule="auto"/>
        <w:rPr>
          <w:rFonts w:ascii="Ebrima" w:hAnsi="Ebrima"/>
          <w:color w:val="000000" w:themeColor="text1"/>
        </w:rPr>
      </w:pPr>
      <w:r>
        <w:rPr>
          <w:rFonts w:ascii="Ebrima" w:hAnsi="Ebrima"/>
          <w:b/>
          <w:bCs/>
        </w:rPr>
        <w:t>Frequency of disclosure:</w:t>
      </w:r>
      <w:r>
        <w:t xml:space="preserve"> Cboe Clear respectfully suggests that ESMA consider specifying the frequency with which CCPs shall </w:t>
      </w:r>
      <w:r w:rsidR="00672823">
        <w:t xml:space="preserve">make available </w:t>
      </w:r>
      <w:r w:rsidR="007F471F">
        <w:t xml:space="preserve">the required </w:t>
      </w:r>
      <w:r>
        <w:t>information, and that such frequency should not be more than once per calendar year.</w:t>
      </w:r>
    </w:p>
    <w:p w14:paraId="624B5840" w14:textId="77777777" w:rsidR="002F47B9" w:rsidRPr="00DA50F9" w:rsidRDefault="002F47B9" w:rsidP="002F47B9">
      <w:pPr>
        <w:rPr>
          <w:u w:val="single"/>
        </w:rPr>
      </w:pPr>
      <w:r w:rsidRPr="00DA50F9">
        <w:rPr>
          <w:u w:val="single"/>
        </w:rPr>
        <w:t>Paragraph 3</w:t>
      </w:r>
    </w:p>
    <w:p w14:paraId="7937E6AE" w14:textId="05591B3C" w:rsidR="00C23DB8" w:rsidRDefault="00C23DB8" w:rsidP="002F47B9">
      <w:r>
        <w:t xml:space="preserve">Cboe Clear proposes that </w:t>
      </w:r>
      <w:r w:rsidR="00565B1E">
        <w:t>the</w:t>
      </w:r>
      <w:r>
        <w:t xml:space="preserve"> information </w:t>
      </w:r>
      <w:r w:rsidR="00565B1E">
        <w:t xml:space="preserve">requested in paragraph 3 </w:t>
      </w:r>
      <w:r>
        <w:t xml:space="preserve">be provided only </w:t>
      </w:r>
      <w:r w:rsidR="00DB4303">
        <w:t xml:space="preserve">by </w:t>
      </w:r>
      <w:r>
        <w:t>CCPs that have parametric models, which are more dependent on manual input.</w:t>
      </w:r>
      <w:r w:rsidR="00977A66">
        <w:t xml:space="preserve"> </w:t>
      </w:r>
      <w:r w:rsidR="00DB4303">
        <w:t>F</w:t>
      </w:r>
      <w:r>
        <w:t>or CCPs that employ fully dynamic VaR models, such information is not relevant</w:t>
      </w:r>
      <w:r w:rsidR="00764D80">
        <w:t xml:space="preserve"> </w:t>
      </w:r>
      <w:r w:rsidR="00B90A59">
        <w:t xml:space="preserve">since this is </w:t>
      </w:r>
      <w:r w:rsidR="00BC65CC">
        <w:t>performed</w:t>
      </w:r>
      <w:r w:rsidR="00B90A59">
        <w:t xml:space="preserve"> automatically by the model itself</w:t>
      </w:r>
      <w:r>
        <w:t xml:space="preserve"> and a description of the model </w:t>
      </w:r>
      <w:r w:rsidR="00DD6205">
        <w:t xml:space="preserve">should </w:t>
      </w:r>
      <w:r>
        <w:t xml:space="preserve">satisfy this requirement. </w:t>
      </w:r>
      <w:r w:rsidR="00AB41BB">
        <w:t>For CCPs employing fully dynamic VaR models, there are</w:t>
      </w:r>
      <w:r>
        <w:t xml:space="preserve"> no conditions under which the assumptions of the model may no longer apply which would result in an override of the initial margin model.</w:t>
      </w:r>
    </w:p>
    <w:p w14:paraId="40C6535B" w14:textId="69D3D1BB" w:rsidR="002F47B9" w:rsidRPr="00565B1E" w:rsidRDefault="4986D7DA" w:rsidP="00DA50F9">
      <w:r>
        <w:t xml:space="preserve">Cboe Clear notes that the requirement under (a) for CCPs to provide information on the processes to monitor and revise the level of its margins to reflect the current market conditions </w:t>
      </w:r>
      <w:r w:rsidR="5E736832">
        <w:t>already exists under the CPMI-IOSCO framework and therefore seems</w:t>
      </w:r>
      <w:r w:rsidR="478EA249">
        <w:t xml:space="preserve"> somewhat</w:t>
      </w:r>
      <w:r w:rsidR="5E736832">
        <w:t xml:space="preserve"> redundant. </w:t>
      </w:r>
      <w:r w:rsidR="27D9308A">
        <w:t xml:space="preserve">Additionally, </w:t>
      </w:r>
      <w:r w:rsidR="38AD2BAA">
        <w:t>CCPs must retain autonomy to act swiftly during market stress events to ensure financial stability</w:t>
      </w:r>
      <w:r w:rsidR="6DA94800">
        <w:t>.</w:t>
      </w:r>
      <w:r w:rsidR="38AD2BAA">
        <w:t xml:space="preserve"> </w:t>
      </w:r>
      <w:r w:rsidR="6DA94800">
        <w:t>I</w:t>
      </w:r>
      <w:r w:rsidR="5DD60A3E">
        <w:t>nformation on</w:t>
      </w:r>
      <w:r w:rsidR="38AD2BAA">
        <w:t xml:space="preserve"> </w:t>
      </w:r>
      <w:r w:rsidR="4DE4E273">
        <w:t>which assumptions may no longer apply and result in overrides</w:t>
      </w:r>
      <w:r w:rsidR="6DA94800">
        <w:t xml:space="preserve"> (point b)</w:t>
      </w:r>
      <w:r w:rsidR="4DE4E273">
        <w:t xml:space="preserve"> </w:t>
      </w:r>
      <w:r w:rsidR="064387BC">
        <w:t xml:space="preserve">and on how extraordinary margins are calculated and called in (point c) </w:t>
      </w:r>
      <w:r w:rsidR="4DE4E273">
        <w:t xml:space="preserve">could </w:t>
      </w:r>
      <w:r w:rsidR="5DD60A3E">
        <w:t>lead to</w:t>
      </w:r>
      <w:r w:rsidR="4DE4E273">
        <w:t xml:space="preserve"> unrealistic expectations</w:t>
      </w:r>
      <w:r w:rsidR="27D9308A">
        <w:t xml:space="preserve"> by CMs that they will have significant influence over or advance warning of such overrides. </w:t>
      </w:r>
      <w:r w:rsidR="336D0328">
        <w:t>Furthermore, a</w:t>
      </w:r>
      <w:r w:rsidR="3138A3E0">
        <w:t xml:space="preserve">ny such requirements must take into account CCP’s existing obligations under Article 56(4) of </w:t>
      </w:r>
      <w:r w:rsidR="1309718B">
        <w:t>Commission Delegated Regulation (EU) No 153/2013</w:t>
      </w:r>
      <w:r w:rsidR="3138A3E0">
        <w:t>.</w:t>
      </w:r>
    </w:p>
    <w:permEnd w:id="834943991"/>
    <w:p w14:paraId="456D2494" w14:textId="3A3E893C" w:rsidR="00693907" w:rsidRDefault="00693907" w:rsidP="00693907">
      <w:r>
        <w:t>&lt;ESMA_QUESTION_</w:t>
      </w:r>
      <w:r w:rsidR="005B277C">
        <w:t>MARG</w:t>
      </w:r>
      <w:r>
        <w:t>_2&gt;</w:t>
      </w:r>
    </w:p>
    <w:p w14:paraId="07210AC9" w14:textId="77777777" w:rsidR="00693907" w:rsidRDefault="00693907" w:rsidP="00693907"/>
    <w:p w14:paraId="19A7880E" w14:textId="5CB37202" w:rsidR="00693907" w:rsidRPr="00EB5987" w:rsidRDefault="00693907" w:rsidP="00693907">
      <w:pPr>
        <w:pStyle w:val="Questionstyle"/>
      </w:pPr>
      <w:r w:rsidRPr="00054AAF">
        <w:lastRenderedPageBreak/>
        <w:t xml:space="preserve">Do </w:t>
      </w:r>
      <w:r w:rsidR="0052521D" w:rsidRPr="0052521D">
        <w:t>you agree with the proposal with regard to the model documentation? Do you have other proposals as to which documents could be provided under point (c) of Article 38(7) of EMIR</w:t>
      </w:r>
      <w:r w:rsidRPr="00EB5987">
        <w:t xml:space="preserve">?    </w:t>
      </w:r>
    </w:p>
    <w:p w14:paraId="4B1B3C0E" w14:textId="487D5D5E" w:rsidR="00693907" w:rsidRDefault="00693907" w:rsidP="00693907">
      <w:r>
        <w:t>&lt;ESMA_QUESTION_</w:t>
      </w:r>
      <w:r w:rsidR="005B277C">
        <w:t>MARG</w:t>
      </w:r>
      <w:r>
        <w:t>_3&gt;</w:t>
      </w:r>
    </w:p>
    <w:p w14:paraId="0825E6CA" w14:textId="7CDB249E" w:rsidR="002F47B9" w:rsidRPr="00C75BED" w:rsidRDefault="00C75BED" w:rsidP="002F47B9">
      <w:pPr>
        <w:rPr>
          <w:b/>
        </w:rPr>
      </w:pPr>
      <w:permStart w:id="1178823114" w:edGrp="everyone"/>
      <w:r w:rsidRPr="00C75BED">
        <w:t>Cboe Clear</w:t>
      </w:r>
      <w:r w:rsidR="002F47B9" w:rsidRPr="00C75BED">
        <w:t xml:space="preserve"> understands that the Level 1 requirement was aimed at ensuring that CCPs provide the margin transparency information in written (documented form). In this sense, the reference to ‘all </w:t>
      </w:r>
      <w:r w:rsidR="00AC66E0">
        <w:t xml:space="preserve">the </w:t>
      </w:r>
      <w:r w:rsidR="002F47B9" w:rsidRPr="00C75BED">
        <w:t xml:space="preserve">documents’ in the draft RTS </w:t>
      </w:r>
      <w:r w:rsidR="00366382">
        <w:t>appears</w:t>
      </w:r>
      <w:r w:rsidR="007C0E39" w:rsidRPr="00C75BED">
        <w:t xml:space="preserve"> </w:t>
      </w:r>
      <w:r w:rsidR="002F47B9" w:rsidRPr="00C75BED">
        <w:t xml:space="preserve">excessive, as it may give the </w:t>
      </w:r>
      <w:r w:rsidRPr="00C75BED">
        <w:t>CM</w:t>
      </w:r>
      <w:r w:rsidR="002F47B9" w:rsidRPr="00C75BED">
        <w:t xml:space="preserve">s the </w:t>
      </w:r>
      <w:r w:rsidR="00AC66E0">
        <w:t>impression</w:t>
      </w:r>
      <w:r w:rsidR="002F47B9" w:rsidRPr="00C75BED">
        <w:t xml:space="preserve"> that they can request information from the CCP, which should be treated as proprietary. </w:t>
      </w:r>
    </w:p>
    <w:p w14:paraId="15FDB3F8" w14:textId="3A1BF7A6" w:rsidR="002F47B9" w:rsidRDefault="002F47B9" w:rsidP="002F47B9">
      <w:pPr>
        <w:rPr>
          <w:rFonts w:ascii="Ebrima" w:hAnsi="Ebrima"/>
        </w:rPr>
      </w:pPr>
      <w:r w:rsidRPr="00C75BED">
        <w:t xml:space="preserve">The Article </w:t>
      </w:r>
      <w:r w:rsidR="00490FE4">
        <w:t>should</w:t>
      </w:r>
      <w:r w:rsidRPr="00C75BED">
        <w:t xml:space="preserve"> be rephrased to more specifically make clear that the information outlined in Art. 1 &amp; 2 of the draft RTS </w:t>
      </w:r>
      <w:r w:rsidR="00AC66E0">
        <w:t>be</w:t>
      </w:r>
      <w:r w:rsidRPr="00C75BED">
        <w:t xml:space="preserve"> provided in a documented form, rather than providing “all </w:t>
      </w:r>
      <w:r w:rsidR="00AC66E0">
        <w:t xml:space="preserve">the </w:t>
      </w:r>
      <w:r w:rsidRPr="00C75BED">
        <w:t xml:space="preserve">documents”. This </w:t>
      </w:r>
      <w:r w:rsidR="00C40927">
        <w:t xml:space="preserve">clarification </w:t>
      </w:r>
      <w:r w:rsidRPr="00C75BED">
        <w:t>could be included in the</w:t>
      </w:r>
      <w:r w:rsidR="00565B1E">
        <w:t xml:space="preserve"> respective</w:t>
      </w:r>
      <w:r w:rsidRPr="00C75BED">
        <w:t xml:space="preserve"> articles themselves. </w:t>
      </w:r>
    </w:p>
    <w:permEnd w:id="1178823114"/>
    <w:p w14:paraId="7EF07F00" w14:textId="7A480662" w:rsidR="00693907" w:rsidRDefault="00693907" w:rsidP="00693907">
      <w:r>
        <w:t>&lt;ESMA_QUESTION_</w:t>
      </w:r>
      <w:r w:rsidR="005B277C">
        <w:t>MARG</w:t>
      </w:r>
      <w:r>
        <w:t>_3&gt;</w:t>
      </w:r>
    </w:p>
    <w:p w14:paraId="6B4516C3" w14:textId="77777777" w:rsidR="00693907" w:rsidRDefault="00693907" w:rsidP="00693907"/>
    <w:p w14:paraId="5487291B" w14:textId="151329EE" w:rsidR="00693907" w:rsidRPr="007966CD" w:rsidRDefault="00693907" w:rsidP="00693907">
      <w:pPr>
        <w:pStyle w:val="Questionstyle"/>
      </w:pPr>
      <w:r w:rsidRPr="000E3F4D">
        <w:t xml:space="preserve">Do </w:t>
      </w:r>
      <w:r w:rsidR="005D6222" w:rsidRPr="005D6222">
        <w:t>you agree with the proposed requirements and the type of output for the simulation tool to be provided by CCPs? Are there any other requirements for the CCP margin simulation tool which should be taken into account, such as legal mechanisms to ensure confidentiality</w:t>
      </w:r>
      <w:r w:rsidRPr="007966CD">
        <w:t xml:space="preserve">?    </w:t>
      </w:r>
    </w:p>
    <w:p w14:paraId="6040CACC" w14:textId="2573CA89" w:rsidR="00693907" w:rsidRDefault="00693907" w:rsidP="00693907">
      <w:r>
        <w:t>&lt;ESMA_QUESTION_</w:t>
      </w:r>
      <w:r w:rsidR="005B277C">
        <w:t>MARG</w:t>
      </w:r>
      <w:r>
        <w:t>_4&gt;</w:t>
      </w:r>
    </w:p>
    <w:p w14:paraId="6E278EF8" w14:textId="51020742" w:rsidR="00AC66E0" w:rsidRDefault="0357918E" w:rsidP="00AC66E0">
      <w:permStart w:id="2012300575" w:edGrp="everyone"/>
      <w:r>
        <w:t xml:space="preserve">Today, Cboe Clear provides its CMs with access to a margin simulation tool, as </w:t>
      </w:r>
      <w:r w:rsidR="6A538CB2">
        <w:t xml:space="preserve">already </w:t>
      </w:r>
      <w:r>
        <w:t xml:space="preserve">required by EMIR, and </w:t>
      </w:r>
      <w:r w:rsidR="6A6A331A">
        <w:t xml:space="preserve">its CMs </w:t>
      </w:r>
      <w:r w:rsidR="26F72AAE">
        <w:t>do not</w:t>
      </w:r>
      <w:r w:rsidR="6A6A331A">
        <w:t xml:space="preserve"> use the tool to simulate margin requirements</w:t>
      </w:r>
      <w:r>
        <w:t>. In its experience, sophisticated CMs will have built their own simulation tools – using CCP’s margin methodology disclosure</w:t>
      </w:r>
      <w:r w:rsidR="0D9A76C3">
        <w:t>s</w:t>
      </w:r>
      <w:r>
        <w:t xml:space="preserve"> – </w:t>
      </w:r>
      <w:r w:rsidR="6C6B15E6">
        <w:t xml:space="preserve">or use those built by third-party vendors </w:t>
      </w:r>
      <w:r>
        <w:t xml:space="preserve">and smaller CMs will generally need some degree of assistance, which Cboe Clear is happy to provide on an ad-hoc basis. </w:t>
      </w:r>
      <w:r w:rsidR="6C6B15E6">
        <w:t xml:space="preserve"> </w:t>
      </w:r>
    </w:p>
    <w:p w14:paraId="7EA4C071" w14:textId="4676824C" w:rsidR="00AC66E0" w:rsidRDefault="0357918E" w:rsidP="00AC66E0">
      <w:r>
        <w:t>Building a tool for the five scenarios for each of the CCP’s asset classes is not only costly – Cboe Clear estimates incurring a cost of at least EUR 600,000 to have such a tool operational</w:t>
      </w:r>
      <w:r w:rsidR="090C30E6">
        <w:t xml:space="preserve"> and increased ongoing maintenance costs</w:t>
      </w:r>
      <w:r>
        <w:t xml:space="preserve"> – but also </w:t>
      </w:r>
      <w:r w:rsidR="257B8D71">
        <w:t xml:space="preserve">will </w:t>
      </w:r>
      <w:r>
        <w:t xml:space="preserve">not </w:t>
      </w:r>
      <w:r w:rsidR="1EA2BD4E">
        <w:t xml:space="preserve">be </w:t>
      </w:r>
      <w:r>
        <w:t>an accurate predictor of the potential evolution of the margin amount if market conditions change and may contrary to the intention of this proposal misdirect market participants.</w:t>
      </w:r>
    </w:p>
    <w:p w14:paraId="1A1010D2" w14:textId="764D2D2D" w:rsidR="00565B1E" w:rsidRPr="00AC66E0" w:rsidRDefault="0357918E" w:rsidP="00565B1E">
      <w:pPr>
        <w:rPr>
          <w:color w:val="9BBB59" w:themeColor="accent3"/>
          <w:highlight w:val="red"/>
        </w:rPr>
      </w:pPr>
      <w:r>
        <w:t xml:space="preserve">The total costs </w:t>
      </w:r>
      <w:r w:rsidR="3E5791D3">
        <w:t xml:space="preserve">to the entire financial industry </w:t>
      </w:r>
      <w:r>
        <w:t>of implementing and maintaining a simulation tool as set out by the proposal</w:t>
      </w:r>
      <w:r w:rsidR="00E15AD2">
        <w:t xml:space="preserve"> </w:t>
      </w:r>
      <w:r>
        <w:t>– as CCPs must look at ways to finance these costs – so clearly outweigh the benefits that it begs a reconsideration of the proposal. While</w:t>
      </w:r>
      <w:r w:rsidR="67DE8C19">
        <w:t xml:space="preserve"> we understand</w:t>
      </w:r>
      <w:r>
        <w:t xml:space="preserve"> there may be pockets of the industry that </w:t>
      </w:r>
      <w:r w:rsidR="4EC3C512">
        <w:t>could</w:t>
      </w:r>
      <w:r>
        <w:t xml:space="preserve"> benefit from more information and transparency</w:t>
      </w:r>
      <w:r w:rsidR="7598E17C">
        <w:t xml:space="preserve"> (</w:t>
      </w:r>
      <w:r w:rsidR="536D5684">
        <w:t xml:space="preserve">for instance, </w:t>
      </w:r>
      <w:r w:rsidR="1E2363F0">
        <w:t xml:space="preserve">some participants in </w:t>
      </w:r>
      <w:r w:rsidR="536D5684">
        <w:t>the commodities markets)</w:t>
      </w:r>
      <w:r>
        <w:t>, in Cboe Clear</w:t>
      </w:r>
      <w:r w:rsidR="4EC3C512">
        <w:t xml:space="preserve">’s </w:t>
      </w:r>
      <w:r>
        <w:t xml:space="preserve">experience, its </w:t>
      </w:r>
      <w:r w:rsidR="4EC3C512">
        <w:t>CMs</w:t>
      </w:r>
      <w:r>
        <w:t xml:space="preserve"> are not asking for an enhanced simulation tool. The proposal as written attempts to solve an issue that appears to exist in isolated pockets of the industry by disproportionately requiring all EU CCPs to provide </w:t>
      </w:r>
      <w:r>
        <w:lastRenderedPageBreak/>
        <w:t xml:space="preserve">a tool for all asset classes. A more targeted solution – for instance, allowing CCPs to respond to individual </w:t>
      </w:r>
      <w:r w:rsidR="4EC3C512">
        <w:t xml:space="preserve">CM </w:t>
      </w:r>
      <w:r>
        <w:t xml:space="preserve">requests for margin simulations – would be more aligned with simplification and burden reduction endeavours at European level. </w:t>
      </w:r>
      <w:r w:rsidR="6587A5B3">
        <w:t xml:space="preserve">Providing a simulation tool that facilitates analysis under historical and hypothetical scenarios should be at a CCP’s discretion. </w:t>
      </w:r>
      <w:r w:rsidR="00565B1E" w:rsidRPr="00AC66E0">
        <w:t>In particular, we have the following concerns:</w:t>
      </w:r>
    </w:p>
    <w:p w14:paraId="75621A8F" w14:textId="521F1EB6" w:rsidR="00565B1E" w:rsidRPr="00AC66E0" w:rsidRDefault="4A140E74">
      <w:pPr>
        <w:pStyle w:val="ListParagraph"/>
        <w:numPr>
          <w:ilvl w:val="0"/>
          <w:numId w:val="41"/>
        </w:numPr>
        <w:spacing w:after="160" w:line="259" w:lineRule="auto"/>
        <w:rPr>
          <w:b/>
          <w:bCs/>
          <w:color w:val="1A1A1A"/>
          <w:szCs w:val="22"/>
        </w:rPr>
      </w:pPr>
      <w:r w:rsidRPr="7B9B9DA1">
        <w:rPr>
          <w:b/>
          <w:bCs/>
        </w:rPr>
        <w:t xml:space="preserve">Add-on simulation: </w:t>
      </w:r>
      <w:r w:rsidR="760D9B77">
        <w:t>The requirement</w:t>
      </w:r>
      <w:r w:rsidR="760D9B77" w:rsidRPr="7B9B9DA1">
        <w:rPr>
          <w:b/>
          <w:bCs/>
        </w:rPr>
        <w:t xml:space="preserve"> </w:t>
      </w:r>
      <w:r w:rsidR="760D9B77">
        <w:t xml:space="preserve">to include all margin add-ons without any consideration of their materiality </w:t>
      </w:r>
      <w:r w:rsidR="2B85CA9B" w:rsidRPr="00DA50F9">
        <w:t xml:space="preserve">may </w:t>
      </w:r>
      <w:r w:rsidR="794354EA">
        <w:t xml:space="preserve">create unnecessary costs for </w:t>
      </w:r>
      <w:r w:rsidR="00E75C0B">
        <w:t xml:space="preserve">some </w:t>
      </w:r>
      <w:r w:rsidR="794354EA">
        <w:t xml:space="preserve">CCPs without </w:t>
      </w:r>
      <w:r w:rsidR="335D3F82">
        <w:t xml:space="preserve">clear </w:t>
      </w:r>
      <w:r w:rsidR="794354EA">
        <w:t xml:space="preserve">benefits </w:t>
      </w:r>
      <w:r w:rsidR="335D3F82">
        <w:t xml:space="preserve">for </w:t>
      </w:r>
      <w:r w:rsidR="794354EA">
        <w:t xml:space="preserve">enhancing liquidity preparedness. </w:t>
      </w:r>
      <w:r>
        <w:t xml:space="preserve">Some </w:t>
      </w:r>
      <w:r w:rsidR="794354EA">
        <w:t xml:space="preserve">margin </w:t>
      </w:r>
      <w:r>
        <w:t xml:space="preserve">add-ons </w:t>
      </w:r>
      <w:r w:rsidR="512459C6">
        <w:t>though comple</w:t>
      </w:r>
      <w:r w:rsidR="4474EE45">
        <w:t xml:space="preserve">x to implement </w:t>
      </w:r>
      <w:r>
        <w:t xml:space="preserve">are </w:t>
      </w:r>
      <w:r w:rsidR="794354EA">
        <w:t xml:space="preserve">immaterial </w:t>
      </w:r>
      <w:r w:rsidR="6C8BEAAF">
        <w:t>to</w:t>
      </w:r>
      <w:r w:rsidR="1C340F78">
        <w:t xml:space="preserve"> the overall outcome </w:t>
      </w:r>
      <w:r w:rsidR="3AFEB897">
        <w:t>for the purposes of liquidity preparedness</w:t>
      </w:r>
      <w:r>
        <w:t xml:space="preserve">, </w:t>
      </w:r>
      <w:r w:rsidR="0A86BEA1">
        <w:t xml:space="preserve">and demands </w:t>
      </w:r>
      <w:r>
        <w:t>significant time and resources from CCPs</w:t>
      </w:r>
      <w:r w:rsidR="794354EA">
        <w:t xml:space="preserve">, in particular where add-ons </w:t>
      </w:r>
      <w:r w:rsidR="418F5609">
        <w:t>are not related to the general market, but are specifically related to market participants</w:t>
      </w:r>
      <w:r w:rsidR="005726E8">
        <w:t>.</w:t>
      </w:r>
    </w:p>
    <w:p w14:paraId="465D35B7" w14:textId="1E7E34BD" w:rsidR="009D372F" w:rsidRPr="0097137C" w:rsidRDefault="4A140E74" w:rsidP="7B9B9DA1">
      <w:pPr>
        <w:pStyle w:val="ListParagraph"/>
        <w:numPr>
          <w:ilvl w:val="0"/>
          <w:numId w:val="41"/>
        </w:numPr>
        <w:spacing w:after="160" w:line="259" w:lineRule="auto"/>
        <w:rPr>
          <w:b/>
          <w:bCs/>
        </w:rPr>
      </w:pPr>
      <w:r w:rsidRPr="7B9B9DA1">
        <w:rPr>
          <w:b/>
          <w:bCs/>
        </w:rPr>
        <w:t xml:space="preserve">Hypothetical and historical scenarios: </w:t>
      </w:r>
      <w:r w:rsidR="59337FB8">
        <w:t xml:space="preserve">Requiring such functionality may subject some CCPs to substantial operational and financial costs without clear benefits for market participants’ liquidity planning. </w:t>
      </w:r>
      <w:r w:rsidR="17E7AB8B">
        <w:t>While IM is based on longer lookback periods, stress scenarios are a point in time</w:t>
      </w:r>
      <w:r w:rsidR="3A0FBA9C">
        <w:t xml:space="preserve"> and unless a given parameterisation was present during </w:t>
      </w:r>
      <w:r w:rsidR="0555D08A">
        <w:t>a specific historical event</w:t>
      </w:r>
      <w:r w:rsidR="0E967A23">
        <w:t>,</w:t>
      </w:r>
      <w:r w:rsidR="35445AD1">
        <w:t xml:space="preserve"> </w:t>
      </w:r>
      <w:r w:rsidR="1ADE80AA">
        <w:t xml:space="preserve">a </w:t>
      </w:r>
      <w:r w:rsidR="56AECBAF">
        <w:t xml:space="preserve">historical </w:t>
      </w:r>
      <w:r w:rsidR="274FB287">
        <w:t>scenario becomes hypothetical</w:t>
      </w:r>
      <w:r w:rsidR="2CE7DE9E">
        <w:t xml:space="preserve">. </w:t>
      </w:r>
      <w:r w:rsidR="5A74FB79">
        <w:t>Making</w:t>
      </w:r>
      <w:r w:rsidR="74121BE4">
        <w:t xml:space="preserve"> available</w:t>
      </w:r>
      <w:r w:rsidR="5A74FB79">
        <w:t xml:space="preserve"> historical </w:t>
      </w:r>
      <w:r w:rsidR="47F585F9">
        <w:t>and hypot</w:t>
      </w:r>
      <w:r w:rsidR="72646630">
        <w:t xml:space="preserve">hetical </w:t>
      </w:r>
      <w:r w:rsidR="345CA293">
        <w:t>stress scenarios</w:t>
      </w:r>
      <w:r w:rsidR="74121BE4">
        <w:t xml:space="preserve"> in the CCP simulation tool</w:t>
      </w:r>
      <w:r w:rsidR="47C7A1A1">
        <w:t xml:space="preserve"> with the exact </w:t>
      </w:r>
      <w:r w:rsidR="7003B65C">
        <w:t xml:space="preserve">and </w:t>
      </w:r>
      <w:r w:rsidR="47C7A1A1">
        <w:t>spectific para</w:t>
      </w:r>
      <w:r w:rsidR="428BDE27">
        <w:t>meterisation</w:t>
      </w:r>
      <w:r w:rsidR="74121BE4">
        <w:t xml:space="preserve">, </w:t>
      </w:r>
      <w:r w:rsidR="5CE67679">
        <w:t>to</w:t>
      </w:r>
      <w:r w:rsidR="613FDF8F">
        <w:t xml:space="preserve"> </w:t>
      </w:r>
      <w:r w:rsidR="551422C3">
        <w:t xml:space="preserve">provide insight for </w:t>
      </w:r>
      <w:r w:rsidR="38BA5790">
        <w:t>liquidity planning</w:t>
      </w:r>
      <w:r w:rsidR="1A63C2B4">
        <w:t xml:space="preserve"> purposes</w:t>
      </w:r>
      <w:r w:rsidR="345CA293">
        <w:t xml:space="preserve"> </w:t>
      </w:r>
      <w:r w:rsidR="42CAA42E">
        <w:t xml:space="preserve">is complex and therefore </w:t>
      </w:r>
      <w:r w:rsidR="0CB9055A">
        <w:t>significantly increases costs</w:t>
      </w:r>
      <w:r w:rsidR="59009D4A">
        <w:t xml:space="preserve">, and there is little to no evidence that </w:t>
      </w:r>
      <w:r w:rsidR="6545CC07">
        <w:t>CMs</w:t>
      </w:r>
      <w:r w:rsidR="436B16BD">
        <w:t xml:space="preserve"> would make use of this functionality</w:t>
      </w:r>
      <w:r w:rsidR="7C45FE8E">
        <w:t>.</w:t>
      </w:r>
      <w:r w:rsidR="6245E717">
        <w:t xml:space="preserve"> </w:t>
      </w:r>
      <w:r w:rsidR="3BC1AFC8">
        <w:t>Cboe Clear</w:t>
      </w:r>
      <w:r>
        <w:t xml:space="preserve"> </w:t>
      </w:r>
      <w:r w:rsidR="17285F96">
        <w:t xml:space="preserve">acknowledges that the inclusion of some stress scenarios </w:t>
      </w:r>
      <w:r w:rsidR="3907B310">
        <w:t>(e.g. based on the CCP’s stres</w:t>
      </w:r>
      <w:r w:rsidR="300B7D4C">
        <w:t>s</w:t>
      </w:r>
      <w:r w:rsidR="3907B310">
        <w:t xml:space="preserve"> testing framework</w:t>
      </w:r>
      <w:r w:rsidR="57AA5C65">
        <w:t xml:space="preserve">) </w:t>
      </w:r>
      <w:r w:rsidR="63CCC491">
        <w:t>in the CCP simulation tool could be usef</w:t>
      </w:r>
      <w:r w:rsidR="440127D8">
        <w:t>ul</w:t>
      </w:r>
      <w:r w:rsidR="674FCBA3">
        <w:t xml:space="preserve">. However, </w:t>
      </w:r>
      <w:r w:rsidR="40ED0D44">
        <w:t>Cboe Clear suggest</w:t>
      </w:r>
      <w:r w:rsidR="68EE8881">
        <w:t>s</w:t>
      </w:r>
      <w:r w:rsidR="40ED0D44">
        <w:t xml:space="preserve"> the RTS should be amended to allow </w:t>
      </w:r>
      <w:r w:rsidR="32735D45">
        <w:t>CCPs’ flexibility</w:t>
      </w:r>
      <w:r w:rsidR="0BB9D33F">
        <w:t>, whereby any requirement to offer different sce</w:t>
      </w:r>
      <w:r w:rsidR="3DD4AFF1">
        <w:t xml:space="preserve">narios </w:t>
      </w:r>
      <w:r w:rsidR="0145EEE7">
        <w:t xml:space="preserve">allows the </w:t>
      </w:r>
      <w:r w:rsidR="31000A0B">
        <w:t xml:space="preserve">CCP to select and design </w:t>
      </w:r>
      <w:r w:rsidR="0A8430D1">
        <w:t xml:space="preserve">the </w:t>
      </w:r>
      <w:r w:rsidR="7550F22A">
        <w:t>scenarios themsel</w:t>
      </w:r>
      <w:r w:rsidR="64F0E2D9">
        <w:t>ves</w:t>
      </w:r>
      <w:r w:rsidR="65611B20">
        <w:t xml:space="preserve">, </w:t>
      </w:r>
      <w:r w:rsidR="3FB2A314">
        <w:t xml:space="preserve">following </w:t>
      </w:r>
      <w:r w:rsidR="65611B20">
        <w:t>consult</w:t>
      </w:r>
      <w:r w:rsidR="3FB2A314">
        <w:t>ation</w:t>
      </w:r>
      <w:r w:rsidR="65611B20">
        <w:t xml:space="preserve"> with its participants through the relevant fora</w:t>
      </w:r>
      <w:r w:rsidR="74CC4435">
        <w:t xml:space="preserve">. Furthermore, the RTS should </w:t>
      </w:r>
      <w:r w:rsidR="6C573ABE">
        <w:t>specify only th</w:t>
      </w:r>
      <w:r w:rsidR="7B291717">
        <w:t>e minim</w:t>
      </w:r>
      <w:r w:rsidR="49247818">
        <w:t xml:space="preserve">um </w:t>
      </w:r>
      <w:r w:rsidR="74CC4435">
        <w:t>number of scenarios requir</w:t>
      </w:r>
      <w:r w:rsidR="3C7179E7">
        <w:t>ed</w:t>
      </w:r>
      <w:r w:rsidR="575264D3">
        <w:t>.</w:t>
      </w:r>
    </w:p>
    <w:p w14:paraId="0AB70AFF" w14:textId="68C18DC8" w:rsidR="00693907" w:rsidRDefault="4A140E74">
      <w:pPr>
        <w:pStyle w:val="ListParagraph"/>
        <w:numPr>
          <w:ilvl w:val="0"/>
          <w:numId w:val="41"/>
        </w:numPr>
        <w:spacing w:after="160" w:line="259" w:lineRule="auto"/>
      </w:pPr>
      <w:r w:rsidRPr="00763F28">
        <w:rPr>
          <w:b/>
          <w:bCs/>
        </w:rPr>
        <w:t xml:space="preserve">Client access: </w:t>
      </w:r>
      <w:r w:rsidR="387F1166">
        <w:t xml:space="preserve">The requirement under Article 6 of the draft RTS that CCPs provide access to its simulation tool to clients providing clearing services does not take into consideration how margin is passed down the chain from CCP to CMs to clients. As CSPs are required under the draft RTS to provide margin simulations to its clients under Article 9(1), CCPs should not have to provide access to its own simulation tool to clients – as that on its own would provide incomplete information as it does not contain the margins added on by CSPs nor does it reflect the situation where clients are margined on total positions they hold with CSPs that could include other risks or positions with other CCPs. Article 9(4) of the draft RTS should suffice as it requires CSPs to distinguish amounts required by CCPs from amounts required by the CSP. </w:t>
      </w:r>
      <w:r w:rsidRPr="00AC66E0">
        <w:t xml:space="preserve">The inclusion of clients (who may have less direct accountability to the CCP) increases the risk of information </w:t>
      </w:r>
      <w:r w:rsidR="2E89A6D6" w:rsidRPr="00AC66E0">
        <w:t>being shared</w:t>
      </w:r>
      <w:r w:rsidRPr="00AC66E0">
        <w:t xml:space="preserve">). </w:t>
      </w:r>
      <w:permEnd w:id="2012300575"/>
      <w:r w:rsidR="65E336B5">
        <w:t>&lt;ESMA_QUESTION_</w:t>
      </w:r>
      <w:r w:rsidR="6D2DBD51">
        <w:t>MARG</w:t>
      </w:r>
      <w:r w:rsidR="65E336B5">
        <w:t>_4&gt;</w:t>
      </w:r>
    </w:p>
    <w:p w14:paraId="2B2D8140" w14:textId="77777777" w:rsidR="00693907" w:rsidRDefault="00693907" w:rsidP="00693907"/>
    <w:p w14:paraId="0BC438F6" w14:textId="208C2B29" w:rsidR="00693907" w:rsidRPr="007966CD" w:rsidRDefault="00693907" w:rsidP="00693907">
      <w:pPr>
        <w:pStyle w:val="Questionstyle"/>
      </w:pPr>
      <w:r w:rsidRPr="0051484C">
        <w:t xml:space="preserve">Do </w:t>
      </w:r>
      <w:r w:rsidR="007A0CCF" w:rsidRPr="007A0CCF">
        <w:t>you agree with the proposed information to be shared by CSPs on their margin models? Should any other element be taken into account</w:t>
      </w:r>
      <w:r w:rsidRPr="007966CD">
        <w:t xml:space="preserve">?    </w:t>
      </w:r>
    </w:p>
    <w:p w14:paraId="01C9FE80" w14:textId="1BE2C2C3" w:rsidR="00693907" w:rsidRDefault="00693907" w:rsidP="00693907">
      <w:r>
        <w:t>&lt;ESMA_QUESTION_</w:t>
      </w:r>
      <w:r w:rsidR="005B277C">
        <w:t>MARG</w:t>
      </w:r>
      <w:r>
        <w:t>_5&gt;</w:t>
      </w:r>
    </w:p>
    <w:p w14:paraId="3CE960DF" w14:textId="0C3DAACE" w:rsidR="00693907" w:rsidRDefault="00763F28" w:rsidP="00221BDD">
      <w:pPr>
        <w:pStyle w:val="ListParagraph"/>
        <w:ind w:left="0"/>
      </w:pPr>
      <w:permStart w:id="1536499182" w:edGrp="everyone"/>
      <w:r w:rsidRPr="00763F28">
        <w:lastRenderedPageBreak/>
        <w:t>Cboe Clear</w:t>
      </w:r>
      <w:r w:rsidR="002F47B9" w:rsidRPr="00763F28">
        <w:t xml:space="preserve"> appreciates that ESMA acknowledges that CCPs alone cannot ensure full transparency regarding margin requirements towards end clients. As CCPs have no direct contractual relationships with such clients, they are unable to provide a full view especially </w:t>
      </w:r>
      <w:r w:rsidR="00CA3573">
        <w:t>since</w:t>
      </w:r>
      <w:r w:rsidR="00CA3573" w:rsidRPr="00763F28">
        <w:t xml:space="preserve"> </w:t>
      </w:r>
      <w:r w:rsidR="00C75BED" w:rsidRPr="00763F28">
        <w:t>CM</w:t>
      </w:r>
      <w:r w:rsidR="002F47B9" w:rsidRPr="00763F28">
        <w:t>s employ their own models or charge add-ons. Consequently, without involvement of CSPs, full margin transparency is not achievable.</w:t>
      </w:r>
      <w:r w:rsidR="00221BDD">
        <w:t xml:space="preserve"> </w:t>
      </w:r>
      <w:permEnd w:id="1536499182"/>
      <w:r w:rsidR="00693907">
        <w:t>&lt;ESMA_QUESTION_</w:t>
      </w:r>
      <w:r w:rsidR="00205D82">
        <w:t>MARG</w:t>
      </w:r>
      <w:r w:rsidR="00693907">
        <w:t>_5&gt;</w:t>
      </w:r>
    </w:p>
    <w:p w14:paraId="6036296B" w14:textId="77777777" w:rsidR="00693907" w:rsidRDefault="00693907" w:rsidP="00693907"/>
    <w:p w14:paraId="18DFE8FB" w14:textId="18653492" w:rsidR="00693907" w:rsidRDefault="00693907" w:rsidP="00693907">
      <w:pPr>
        <w:pStyle w:val="Questionstyle"/>
      </w:pPr>
      <w:r w:rsidRPr="0051484C">
        <w:t xml:space="preserve">Do </w:t>
      </w:r>
      <w:r>
        <w:t>you</w:t>
      </w:r>
      <w:r w:rsidR="00476DE1">
        <w:t xml:space="preserve"> </w:t>
      </w:r>
      <w:r w:rsidR="00B60DE9" w:rsidRPr="00B60DE9">
        <w:t>agree with the proposals on the margin simulations to be provided by CSPs? Should there be any additional requirements</w:t>
      </w:r>
      <w:r>
        <w:t>?</w:t>
      </w:r>
    </w:p>
    <w:p w14:paraId="60F9A95E" w14:textId="531C2F40" w:rsidR="00693907" w:rsidRDefault="00693907" w:rsidP="00693907">
      <w:r>
        <w:t>&lt;ESMA_QUESTION_</w:t>
      </w:r>
      <w:r w:rsidR="00205D82">
        <w:t>MARG</w:t>
      </w:r>
      <w:r>
        <w:t>_6&gt;</w:t>
      </w:r>
    </w:p>
    <w:p w14:paraId="64E3603A" w14:textId="5EF08402" w:rsidR="00693907" w:rsidRDefault="002F47B9" w:rsidP="00693907">
      <w:permStart w:id="1016208263" w:edGrp="everyone"/>
      <w:r w:rsidRPr="00763F28">
        <w:t xml:space="preserve">Please refer to </w:t>
      </w:r>
      <w:r w:rsidR="00221BDD">
        <w:t>the</w:t>
      </w:r>
      <w:r w:rsidRPr="00763F28">
        <w:t xml:space="preserve"> response to Q. 5.</w:t>
      </w:r>
    </w:p>
    <w:permEnd w:id="1016208263"/>
    <w:p w14:paraId="01EF6C30" w14:textId="577FFAB7" w:rsidR="00693907" w:rsidRDefault="00693907" w:rsidP="00693907">
      <w:r>
        <w:t>&lt;ESMA_QUESTION_</w:t>
      </w:r>
      <w:r w:rsidR="00205D82">
        <w:t>MARG</w:t>
      </w:r>
      <w:r>
        <w:t>_6&gt;</w:t>
      </w:r>
    </w:p>
    <w:p w14:paraId="59161C1E" w14:textId="77777777" w:rsidR="00693907" w:rsidRDefault="00693907" w:rsidP="00693907"/>
    <w:p w14:paraId="1EC367CD" w14:textId="07A50660" w:rsidR="00E619AB" w:rsidRPr="00B25E0D" w:rsidRDefault="00E619AB" w:rsidP="00693907"/>
    <w:sectPr w:rsidR="00E619AB" w:rsidRPr="00B25E0D" w:rsidSect="00A8728B">
      <w:headerReference w:type="default" r:id="rId27"/>
      <w:footerReference w:type="default" r:id="rId28"/>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E9497" w14:textId="77777777" w:rsidR="004A0A27" w:rsidRDefault="004A0A27" w:rsidP="00F716D4">
      <w:r>
        <w:separator/>
      </w:r>
    </w:p>
    <w:p w14:paraId="6C3750C0" w14:textId="77777777" w:rsidR="004A0A27" w:rsidRDefault="004A0A27" w:rsidP="00F716D4"/>
  </w:endnote>
  <w:endnote w:type="continuationSeparator" w:id="0">
    <w:p w14:paraId="2795E05C" w14:textId="77777777" w:rsidR="004A0A27" w:rsidRDefault="004A0A27" w:rsidP="00F716D4">
      <w:r>
        <w:continuationSeparator/>
      </w:r>
    </w:p>
    <w:p w14:paraId="3BCCE5D1" w14:textId="77777777" w:rsidR="004A0A27" w:rsidRDefault="004A0A27" w:rsidP="00F716D4"/>
  </w:endnote>
  <w:endnote w:type="continuationNotice" w:id="1">
    <w:p w14:paraId="19190474" w14:textId="77777777" w:rsidR="004A0A27" w:rsidRDefault="004A0A27"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1C1E10B6" w14:textId="77777777" w:rsidTr="296079D6">
      <w:trPr>
        <w:trHeight w:val="300"/>
      </w:trPr>
      <w:tc>
        <w:tcPr>
          <w:tcW w:w="3020" w:type="dxa"/>
        </w:tcPr>
        <w:p w14:paraId="754C647F" w14:textId="0D2438C9" w:rsidR="296079D6" w:rsidRDefault="296079D6" w:rsidP="296079D6">
          <w:pPr>
            <w:pStyle w:val="Header"/>
            <w:ind w:left="-115"/>
            <w:jc w:val="left"/>
          </w:pPr>
        </w:p>
      </w:tc>
      <w:tc>
        <w:tcPr>
          <w:tcW w:w="3020" w:type="dxa"/>
        </w:tcPr>
        <w:p w14:paraId="31DF827A" w14:textId="32EA9807" w:rsidR="296079D6" w:rsidRDefault="296079D6" w:rsidP="296079D6">
          <w:pPr>
            <w:pStyle w:val="Header"/>
            <w:jc w:val="center"/>
          </w:pPr>
        </w:p>
      </w:tc>
      <w:tc>
        <w:tcPr>
          <w:tcW w:w="3020" w:type="dxa"/>
        </w:tcPr>
        <w:p w14:paraId="684BE38F" w14:textId="24CDFEA3" w:rsidR="296079D6" w:rsidRDefault="296079D6" w:rsidP="296079D6">
          <w:pPr>
            <w:pStyle w:val="Header"/>
            <w:ind w:right="-115"/>
            <w:jc w:val="right"/>
          </w:pPr>
        </w:p>
      </w:tc>
    </w:tr>
  </w:tbl>
  <w:p w14:paraId="1EA6AD30" w14:textId="508E27C7" w:rsidR="296079D6" w:rsidRDefault="296079D6" w:rsidP="296079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0DB3A058" w14:textId="77777777" w:rsidTr="296079D6">
      <w:trPr>
        <w:trHeight w:val="300"/>
      </w:trPr>
      <w:tc>
        <w:tcPr>
          <w:tcW w:w="3020" w:type="dxa"/>
        </w:tcPr>
        <w:p w14:paraId="0D5A25EC" w14:textId="6A091ED5" w:rsidR="296079D6" w:rsidRDefault="296079D6" w:rsidP="296079D6">
          <w:pPr>
            <w:pStyle w:val="Header"/>
            <w:ind w:left="-115"/>
            <w:jc w:val="left"/>
          </w:pPr>
        </w:p>
      </w:tc>
      <w:tc>
        <w:tcPr>
          <w:tcW w:w="3020" w:type="dxa"/>
        </w:tcPr>
        <w:p w14:paraId="60B14148" w14:textId="19E36BA0" w:rsidR="296079D6" w:rsidRDefault="296079D6" w:rsidP="296079D6">
          <w:pPr>
            <w:pStyle w:val="Header"/>
            <w:jc w:val="center"/>
          </w:pPr>
        </w:p>
      </w:tc>
      <w:tc>
        <w:tcPr>
          <w:tcW w:w="3020" w:type="dxa"/>
        </w:tcPr>
        <w:p w14:paraId="767ABF03" w14:textId="0FB96330" w:rsidR="296079D6" w:rsidRDefault="296079D6" w:rsidP="296079D6">
          <w:pPr>
            <w:pStyle w:val="Header"/>
            <w:ind w:right="-115"/>
            <w:jc w:val="right"/>
          </w:pPr>
        </w:p>
      </w:tc>
    </w:tr>
  </w:tbl>
  <w:p w14:paraId="31D907CC" w14:textId="0849D0C5" w:rsidR="296079D6" w:rsidRDefault="296079D6" w:rsidP="296079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24241131" w14:textId="77777777" w:rsidTr="296079D6">
      <w:trPr>
        <w:trHeight w:val="300"/>
      </w:trPr>
      <w:tc>
        <w:tcPr>
          <w:tcW w:w="3135" w:type="dxa"/>
        </w:tcPr>
        <w:p w14:paraId="687692A0" w14:textId="26235DD5" w:rsidR="296079D6" w:rsidRDefault="296079D6" w:rsidP="296079D6">
          <w:pPr>
            <w:pStyle w:val="Header"/>
            <w:ind w:left="-115"/>
            <w:jc w:val="left"/>
          </w:pPr>
        </w:p>
      </w:tc>
      <w:tc>
        <w:tcPr>
          <w:tcW w:w="3135" w:type="dxa"/>
        </w:tcPr>
        <w:p w14:paraId="31FEBFF4" w14:textId="743D0A84" w:rsidR="296079D6" w:rsidRDefault="296079D6" w:rsidP="296079D6">
          <w:pPr>
            <w:pStyle w:val="Header"/>
            <w:jc w:val="center"/>
          </w:pPr>
        </w:p>
      </w:tc>
      <w:tc>
        <w:tcPr>
          <w:tcW w:w="3135" w:type="dxa"/>
        </w:tcPr>
        <w:p w14:paraId="66BF4A57" w14:textId="3665E6D3" w:rsidR="296079D6" w:rsidRDefault="296079D6" w:rsidP="296079D6">
          <w:pPr>
            <w:pStyle w:val="Header"/>
            <w:ind w:right="-115"/>
            <w:jc w:val="right"/>
          </w:pPr>
        </w:p>
      </w:tc>
    </w:tr>
  </w:tbl>
  <w:p w14:paraId="157512C3" w14:textId="4E034532" w:rsidR="296079D6" w:rsidRDefault="296079D6" w:rsidP="296079D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10507C07" w14:textId="77777777" w:rsidTr="296079D6">
      <w:trPr>
        <w:trHeight w:val="300"/>
      </w:trPr>
      <w:tc>
        <w:tcPr>
          <w:tcW w:w="3135" w:type="dxa"/>
        </w:tcPr>
        <w:p w14:paraId="10CFBD3B" w14:textId="7AF655F4" w:rsidR="296079D6" w:rsidRDefault="296079D6" w:rsidP="296079D6">
          <w:pPr>
            <w:pStyle w:val="Header"/>
            <w:ind w:left="-115"/>
            <w:jc w:val="left"/>
          </w:pPr>
        </w:p>
      </w:tc>
      <w:tc>
        <w:tcPr>
          <w:tcW w:w="3135" w:type="dxa"/>
        </w:tcPr>
        <w:p w14:paraId="72746E3F" w14:textId="086867DB" w:rsidR="296079D6" w:rsidRDefault="296079D6" w:rsidP="296079D6">
          <w:pPr>
            <w:pStyle w:val="Header"/>
            <w:jc w:val="center"/>
          </w:pPr>
        </w:p>
      </w:tc>
      <w:tc>
        <w:tcPr>
          <w:tcW w:w="3135" w:type="dxa"/>
        </w:tcPr>
        <w:p w14:paraId="21F1D28C" w14:textId="1B826CAC" w:rsidR="296079D6" w:rsidRDefault="296079D6" w:rsidP="296079D6">
          <w:pPr>
            <w:pStyle w:val="Header"/>
            <w:ind w:right="-115"/>
            <w:jc w:val="right"/>
          </w:pPr>
        </w:p>
      </w:tc>
    </w:tr>
  </w:tbl>
  <w:p w14:paraId="6D27F183" w14:textId="7AC7FD41" w:rsidR="296079D6" w:rsidRDefault="296079D6" w:rsidP="29607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37FDB" w14:textId="77777777" w:rsidR="004A0A27" w:rsidRDefault="004A0A27" w:rsidP="00F716D4">
      <w:r>
        <w:separator/>
      </w:r>
    </w:p>
    <w:p w14:paraId="585CB452" w14:textId="77777777" w:rsidR="004A0A27" w:rsidRDefault="004A0A27" w:rsidP="00F716D4"/>
  </w:footnote>
  <w:footnote w:type="continuationSeparator" w:id="0">
    <w:p w14:paraId="4F760E03" w14:textId="77777777" w:rsidR="004A0A27" w:rsidRDefault="004A0A27" w:rsidP="00F716D4">
      <w:r>
        <w:continuationSeparator/>
      </w:r>
    </w:p>
    <w:p w14:paraId="7F046553" w14:textId="77777777" w:rsidR="004A0A27" w:rsidRDefault="004A0A27" w:rsidP="00F716D4"/>
  </w:footnote>
  <w:footnote w:type="continuationNotice" w:id="1">
    <w:p w14:paraId="0BAF2C65" w14:textId="77777777" w:rsidR="004A0A27" w:rsidRDefault="004A0A27" w:rsidP="00F716D4"/>
  </w:footnote>
  <w:footnote w:id="2">
    <w:p w14:paraId="3D002880" w14:textId="77777777" w:rsidR="002F47B9" w:rsidRPr="006D5BC5" w:rsidRDefault="002F47B9" w:rsidP="002F47B9">
      <w:pPr>
        <w:pStyle w:val="FootnoteText"/>
        <w:rPr>
          <w:rFonts w:ascii="Ebrima" w:hAnsi="Ebrima"/>
          <w:sz w:val="18"/>
          <w:szCs w:val="18"/>
        </w:rPr>
      </w:pPr>
      <w:r w:rsidRPr="006D5BC5">
        <w:rPr>
          <w:rStyle w:val="FootnoteReference"/>
          <w:rFonts w:ascii="Ebrima" w:hAnsi="Ebrima"/>
          <w:sz w:val="18"/>
          <w:szCs w:val="18"/>
        </w:rPr>
        <w:footnoteRef/>
      </w:r>
      <w:r w:rsidRPr="006D5BC5">
        <w:rPr>
          <w:rFonts w:ascii="Ebrima" w:hAnsi="Ebrima"/>
          <w:sz w:val="18"/>
          <w:szCs w:val="18"/>
        </w:rPr>
        <w:t xml:space="preserve"> Bank of England System-wide exploratory scenario</w:t>
      </w:r>
      <w:r>
        <w:rPr>
          <w:rFonts w:ascii="Ebrima" w:hAnsi="Ebrima"/>
          <w:sz w:val="18"/>
          <w:szCs w:val="18"/>
        </w:rPr>
        <w:t xml:space="preserve">. Final Report published in November 2024 and available at </w:t>
      </w:r>
      <w:hyperlink r:id="rId1" w:history="1">
        <w:r w:rsidRPr="00CC46D8">
          <w:rPr>
            <w:rStyle w:val="Hyperlink"/>
            <w:rFonts w:ascii="Ebrima" w:hAnsi="Ebrima"/>
            <w:sz w:val="18"/>
            <w:szCs w:val="18"/>
          </w:rPr>
          <w:t>https://www.bankofengland.co.uk/financial-stability/boe-system-wide-exploratory-scenario-exercise</w:t>
        </w:r>
      </w:hyperlink>
      <w:r>
        <w:rPr>
          <w:rFonts w:ascii="Ebrima" w:hAnsi="Ebrima"/>
          <w:sz w:val="18"/>
          <w:szCs w:val="18"/>
        </w:rPr>
        <w:t xml:space="preserve">. </w:t>
      </w:r>
    </w:p>
  </w:footnote>
  <w:footnote w:id="3">
    <w:p w14:paraId="4A1E97C2" w14:textId="77777777" w:rsidR="002F47B9" w:rsidRPr="006D5BC5" w:rsidRDefault="002F47B9" w:rsidP="002F47B9">
      <w:pPr>
        <w:pStyle w:val="FootnoteText"/>
        <w:rPr>
          <w:rFonts w:ascii="Ebrima" w:hAnsi="Ebrima"/>
          <w:sz w:val="18"/>
          <w:szCs w:val="18"/>
        </w:rPr>
      </w:pPr>
      <w:r w:rsidRPr="006D5BC5">
        <w:rPr>
          <w:rStyle w:val="FootnoteReference"/>
          <w:rFonts w:ascii="Ebrima" w:hAnsi="Ebrima"/>
          <w:sz w:val="18"/>
          <w:szCs w:val="18"/>
        </w:rPr>
        <w:footnoteRef/>
      </w:r>
      <w:r w:rsidRPr="006D5BC5">
        <w:rPr>
          <w:rFonts w:ascii="Ebrima" w:hAnsi="Ebrima"/>
          <w:sz w:val="18"/>
          <w:szCs w:val="18"/>
        </w:rPr>
        <w:t xml:space="preserve"> Available at </w:t>
      </w:r>
      <w:hyperlink r:id="rId2" w:history="1">
        <w:r w:rsidRPr="006D5BC5">
          <w:rPr>
            <w:rStyle w:val="Hyperlink"/>
            <w:rFonts w:ascii="Ebrima" w:hAnsi="Ebrima"/>
            <w:sz w:val="18"/>
            <w:szCs w:val="18"/>
          </w:rPr>
          <w:t>https://www.bis.org/bcbs/publ/d590.pdf</w:t>
        </w:r>
      </w:hyperlink>
      <w:r w:rsidRPr="006D5BC5">
        <w:rPr>
          <w:rFonts w:ascii="Ebrima" w:hAnsi="Ebrima"/>
          <w:sz w:val="18"/>
          <w:szCs w:val="18"/>
        </w:rPr>
        <w:t xml:space="preserve">. </w:t>
      </w:r>
    </w:p>
  </w:footnote>
  <w:footnote w:id="4">
    <w:p w14:paraId="6F7AC4FA" w14:textId="77777777" w:rsidR="002F47B9" w:rsidRPr="008B49FD" w:rsidRDefault="002F47B9" w:rsidP="002F47B9">
      <w:pPr>
        <w:pStyle w:val="FootnoteText"/>
        <w:rPr>
          <w:rFonts w:ascii="Ebrima" w:hAnsi="Ebrima"/>
          <w:sz w:val="18"/>
          <w:szCs w:val="18"/>
        </w:rPr>
      </w:pPr>
      <w:r>
        <w:rPr>
          <w:rStyle w:val="FootnoteReference"/>
        </w:rPr>
        <w:footnoteRef/>
      </w:r>
      <w:r>
        <w:t xml:space="preserve"> </w:t>
      </w:r>
      <w:hyperlink r:id="rId3" w:history="1">
        <w:r w:rsidRPr="008B49FD">
          <w:rPr>
            <w:rStyle w:val="Hyperlink"/>
            <w:rFonts w:ascii="Ebrima" w:hAnsi="Ebrima"/>
            <w:sz w:val="18"/>
            <w:szCs w:val="18"/>
          </w:rPr>
          <w:t>https://www.iosco.org/v2/about/?subSection=cpmi_iosco&amp;subSection1=monitoring</w:t>
        </w:r>
      </w:hyperlink>
      <w:r w:rsidRPr="008B49FD">
        <w:rPr>
          <w:rFonts w:ascii="Ebrima" w:hAnsi="Ebrima"/>
          <w:sz w:val="18"/>
          <w:szCs w:val="18"/>
        </w:rPr>
        <w:t xml:space="preserve"> </w:t>
      </w:r>
    </w:p>
  </w:footnote>
  <w:footnote w:id="5">
    <w:p w14:paraId="1378B3A3" w14:textId="77777777" w:rsidR="002F47B9" w:rsidRPr="00265E59" w:rsidRDefault="002F47B9" w:rsidP="002F47B9">
      <w:pPr>
        <w:pStyle w:val="FootnoteText"/>
        <w:rPr>
          <w:lang w:val="en-US"/>
        </w:rPr>
      </w:pPr>
      <w:r>
        <w:rPr>
          <w:rStyle w:val="FootnoteReference"/>
        </w:rPr>
        <w:footnoteRef/>
      </w:r>
      <w:r>
        <w:t xml:space="preserve"> </w:t>
      </w:r>
      <w:hyperlink r:id="rId4" w:history="1">
        <w:r w:rsidRPr="002C60B1">
          <w:rPr>
            <w:rStyle w:val="Hyperlink"/>
          </w:rPr>
          <w:t>https://eur-lex.europa.eu/legal-content/EN/TXT/PDF/?uri=CELEX:32012R0648</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76D8A236" w14:textId="77777777" w:rsidTr="296079D6">
      <w:trPr>
        <w:trHeight w:val="300"/>
      </w:trPr>
      <w:tc>
        <w:tcPr>
          <w:tcW w:w="3020" w:type="dxa"/>
        </w:tcPr>
        <w:p w14:paraId="4C0D83D6" w14:textId="1D07C450" w:rsidR="296079D6" w:rsidRDefault="296079D6" w:rsidP="296079D6">
          <w:pPr>
            <w:pStyle w:val="Header"/>
            <w:ind w:left="-115"/>
            <w:jc w:val="left"/>
          </w:pPr>
        </w:p>
      </w:tc>
      <w:tc>
        <w:tcPr>
          <w:tcW w:w="3020" w:type="dxa"/>
        </w:tcPr>
        <w:p w14:paraId="5F6E5D6D" w14:textId="78CCE3A7" w:rsidR="296079D6" w:rsidRDefault="296079D6" w:rsidP="296079D6">
          <w:pPr>
            <w:pStyle w:val="Header"/>
            <w:jc w:val="center"/>
          </w:pPr>
        </w:p>
      </w:tc>
      <w:tc>
        <w:tcPr>
          <w:tcW w:w="3020" w:type="dxa"/>
        </w:tcPr>
        <w:p w14:paraId="6E6D04F9" w14:textId="6B14CEDE" w:rsidR="296079D6" w:rsidRDefault="296079D6" w:rsidP="296079D6">
          <w:pPr>
            <w:pStyle w:val="Header"/>
            <w:ind w:right="-115"/>
            <w:jc w:val="right"/>
          </w:pPr>
        </w:p>
      </w:tc>
    </w:tr>
  </w:tbl>
  <w:p w14:paraId="6E7E6717" w14:textId="102B89E2" w:rsidR="296079D6" w:rsidRDefault="296079D6" w:rsidP="29607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0253699F" w:rsidR="004E60D2" w:rsidRPr="004E60D2" w:rsidRDefault="004E60D2" w:rsidP="004E60D2">
    <w:pPr>
      <w:spacing w:after="0"/>
      <w:jc w:val="right"/>
      <w:rPr>
        <w:rStyle w:val="normaltextrun"/>
        <w:color w:val="001B4F"/>
        <w:sz w:val="16"/>
        <w:szCs w:val="16"/>
        <w:shd w:val="clear" w:color="auto" w:fill="FFFFFF"/>
      </w:rPr>
    </w:pPr>
    <w:r w:rsidRPr="0028436A">
      <w:rPr>
        <w:rStyle w:val="normaltextrun"/>
        <w:bCs/>
        <w:caps/>
        <w:noProof/>
        <w:color w:val="001B4F"/>
        <w:sz w:val="16"/>
        <w:szCs w:val="16"/>
        <w:shd w:val="clear" w:color="auto" w:fill="FFFFFF"/>
      </w:rPr>
      <w:drawing>
        <wp:anchor distT="0" distB="0" distL="114300" distR="114300" simplePos="0" relativeHeight="251660288"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282768298" name="Picture 28276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28436A" w:rsidRPr="0028436A">
      <w:rPr>
        <w:rStyle w:val="normaltextrun"/>
        <w:color w:val="001B4F"/>
        <w:sz w:val="16"/>
        <w:szCs w:val="16"/>
        <w:shd w:val="clear" w:color="auto" w:fill="FFFFFF"/>
      </w:rPr>
      <w:t>24</w:t>
    </w:r>
    <w:r w:rsidR="006D75F9" w:rsidRPr="0028436A">
      <w:rPr>
        <w:rStyle w:val="normaltextrun"/>
        <w:color w:val="001B4F"/>
        <w:sz w:val="16"/>
        <w:szCs w:val="16"/>
        <w:shd w:val="clear" w:color="auto" w:fill="FFFFFF"/>
      </w:rPr>
      <w:t xml:space="preserve"> June</w:t>
    </w:r>
    <w:r w:rsidRPr="0028436A">
      <w:rPr>
        <w:rStyle w:val="normaltextrun"/>
        <w:color w:val="001B4F"/>
        <w:sz w:val="16"/>
        <w:szCs w:val="16"/>
        <w:shd w:val="clear" w:color="auto" w:fill="FFFFFF"/>
      </w:rPr>
      <w:t xml:space="preserve"> 202</w:t>
    </w:r>
    <w:r w:rsidR="007C5962" w:rsidRPr="0028436A">
      <w:rPr>
        <w:rStyle w:val="normaltextrun"/>
        <w:color w:val="001B4F"/>
        <w:sz w:val="16"/>
        <w:szCs w:val="16"/>
        <w:shd w:val="clear" w:color="auto" w:fill="FFFFFF"/>
      </w:rPr>
      <w:t>5</w:t>
    </w:r>
  </w:p>
  <w:p w14:paraId="5AC1769D" w14:textId="7560441D" w:rsidR="004E60D2" w:rsidRDefault="004E60D2" w:rsidP="000710C1">
    <w:pPr>
      <w:jc w:val="right"/>
    </w:pPr>
    <w:r w:rsidRPr="00A4190A">
      <w:rPr>
        <w:rStyle w:val="normaltextrun"/>
        <w:color w:val="001B4F"/>
        <w:sz w:val="16"/>
        <w:szCs w:val="16"/>
        <w:shd w:val="clear" w:color="auto" w:fill="FFFFFF"/>
      </w:rPr>
      <w:t>ESMA</w:t>
    </w:r>
    <w:r w:rsidR="00A4190A" w:rsidRPr="00A4190A">
      <w:rPr>
        <w:rStyle w:val="normaltextrun"/>
        <w:color w:val="001B4F"/>
        <w:sz w:val="16"/>
        <w:szCs w:val="16"/>
        <w:shd w:val="clear" w:color="auto" w:fill="FFFFFF"/>
      </w:rPr>
      <w:t>91-1505572268-4396</w:t>
    </w:r>
  </w:p>
  <w:p w14:paraId="4AF05B1F" w14:textId="77777777" w:rsidR="004E60D2" w:rsidRDefault="004E60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36268B77" w14:textId="77777777" w:rsidTr="296079D6">
      <w:trPr>
        <w:trHeight w:val="300"/>
      </w:trPr>
      <w:tc>
        <w:tcPr>
          <w:tcW w:w="3135" w:type="dxa"/>
        </w:tcPr>
        <w:p w14:paraId="0EB5367C" w14:textId="4E34CFED" w:rsidR="296079D6" w:rsidRDefault="296079D6" w:rsidP="296079D6">
          <w:pPr>
            <w:pStyle w:val="Header"/>
            <w:ind w:left="-115"/>
            <w:jc w:val="left"/>
          </w:pPr>
        </w:p>
      </w:tc>
      <w:tc>
        <w:tcPr>
          <w:tcW w:w="3135" w:type="dxa"/>
        </w:tcPr>
        <w:p w14:paraId="0682432A" w14:textId="50492F17" w:rsidR="296079D6" w:rsidRDefault="296079D6" w:rsidP="296079D6">
          <w:pPr>
            <w:pStyle w:val="Header"/>
            <w:jc w:val="center"/>
          </w:pPr>
        </w:p>
      </w:tc>
      <w:tc>
        <w:tcPr>
          <w:tcW w:w="3135" w:type="dxa"/>
        </w:tcPr>
        <w:p w14:paraId="390C9734" w14:textId="5CD98D2D" w:rsidR="296079D6" w:rsidRDefault="296079D6" w:rsidP="296079D6">
          <w:pPr>
            <w:pStyle w:val="Header"/>
            <w:ind w:right="-115"/>
            <w:jc w:val="right"/>
          </w:pPr>
        </w:p>
      </w:tc>
    </w:tr>
  </w:tbl>
  <w:p w14:paraId="0B2F4F8F" w14:textId="20D35276" w:rsidR="296079D6" w:rsidRDefault="296079D6" w:rsidP="296079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7216"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397016649" name="Picture 1397016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5F177A0B" w14:textId="77777777" w:rsidTr="296079D6">
      <w:trPr>
        <w:trHeight w:val="300"/>
      </w:trPr>
      <w:tc>
        <w:tcPr>
          <w:tcW w:w="3135" w:type="dxa"/>
        </w:tcPr>
        <w:p w14:paraId="336760F0" w14:textId="69B81E0B" w:rsidR="296079D6" w:rsidRDefault="296079D6" w:rsidP="296079D6">
          <w:pPr>
            <w:pStyle w:val="Header"/>
            <w:ind w:left="-115"/>
            <w:jc w:val="left"/>
          </w:pPr>
        </w:p>
      </w:tc>
      <w:tc>
        <w:tcPr>
          <w:tcW w:w="3135" w:type="dxa"/>
        </w:tcPr>
        <w:p w14:paraId="52F93C1D" w14:textId="138730E9" w:rsidR="296079D6" w:rsidRDefault="296079D6" w:rsidP="296079D6">
          <w:pPr>
            <w:pStyle w:val="Header"/>
            <w:jc w:val="center"/>
          </w:pPr>
        </w:p>
      </w:tc>
      <w:tc>
        <w:tcPr>
          <w:tcW w:w="3135" w:type="dxa"/>
        </w:tcPr>
        <w:p w14:paraId="4FD76FD1" w14:textId="7BFB4000" w:rsidR="296079D6" w:rsidRDefault="296079D6" w:rsidP="296079D6">
          <w:pPr>
            <w:pStyle w:val="Header"/>
            <w:ind w:right="-115"/>
            <w:jc w:val="right"/>
          </w:pPr>
        </w:p>
      </w:tc>
    </w:tr>
  </w:tbl>
  <w:p w14:paraId="6902044D" w14:textId="0EB4ACA7" w:rsidR="296079D6" w:rsidRDefault="296079D6" w:rsidP="29607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42F4BD0"/>
    <w:multiLevelType w:val="hybridMultilevel"/>
    <w:tmpl w:val="492A3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7EA5CA7"/>
    <w:multiLevelType w:val="hybridMultilevel"/>
    <w:tmpl w:val="881E7D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4"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6"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8" w15:restartNumberingAfterBreak="0">
    <w:nsid w:val="3CBC2DB2"/>
    <w:multiLevelType w:val="multilevel"/>
    <w:tmpl w:val="BF186CCE"/>
    <w:lvl w:ilvl="0">
      <w:start w:val="1"/>
      <w:numFmt w:val="decimal"/>
      <w:lvlText w:val="%1."/>
      <w:lvlJc w:val="left"/>
      <w:pPr>
        <w:ind w:left="360" w:hanging="360"/>
      </w:pPr>
      <w:rPr>
        <w:rFonts w:hint="default"/>
      </w:rPr>
    </w:lvl>
    <w:lvl w:ilvl="1">
      <w:start w:val="1"/>
      <w:numFmt w:val="decimal"/>
      <w:lvlText w:val="%1.%2."/>
      <w:lvlJc w:val="left"/>
      <w:pPr>
        <w:ind w:left="114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0"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4"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5"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14521BC"/>
    <w:multiLevelType w:val="hybridMultilevel"/>
    <w:tmpl w:val="35FA1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815A57"/>
    <w:multiLevelType w:val="hybridMultilevel"/>
    <w:tmpl w:val="F02EC2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0"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1"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6"/>
  </w:num>
  <w:num w:numId="2" w16cid:durableId="1769932826">
    <w:abstractNumId w:val="20"/>
  </w:num>
  <w:num w:numId="3" w16cid:durableId="550074866">
    <w:abstractNumId w:val="11"/>
  </w:num>
  <w:num w:numId="4" w16cid:durableId="1881627233">
    <w:abstractNumId w:val="25"/>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2"/>
  </w:num>
  <w:num w:numId="9" w16cid:durableId="1008846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8"/>
  </w:num>
  <w:num w:numId="12" w16cid:durableId="1500659627">
    <w:abstractNumId w:val="31"/>
  </w:num>
  <w:num w:numId="13" w16cid:durableId="1879658227">
    <w:abstractNumId w:val="24"/>
  </w:num>
  <w:num w:numId="14" w16cid:durableId="1495758855">
    <w:abstractNumId w:val="9"/>
  </w:num>
  <w:num w:numId="15" w16cid:durableId="1186556611">
    <w:abstractNumId w:val="1"/>
  </w:num>
  <w:num w:numId="16" w16cid:durableId="679087124">
    <w:abstractNumId w:val="14"/>
  </w:num>
  <w:num w:numId="17" w16cid:durableId="1695498691">
    <w:abstractNumId w:val="15"/>
  </w:num>
  <w:num w:numId="18" w16cid:durableId="1042363640">
    <w:abstractNumId w:val="17"/>
  </w:num>
  <w:num w:numId="19" w16cid:durableId="820345968">
    <w:abstractNumId w:val="27"/>
  </w:num>
  <w:num w:numId="20" w16cid:durableId="1805388212">
    <w:abstractNumId w:val="36"/>
  </w:num>
  <w:num w:numId="21" w16cid:durableId="538709007">
    <w:abstractNumId w:val="26"/>
  </w:num>
  <w:num w:numId="22" w16cid:durableId="104540172">
    <w:abstractNumId w:val="8"/>
  </w:num>
  <w:num w:numId="23" w16cid:durableId="1824349076">
    <w:abstractNumId w:val="30"/>
  </w:num>
  <w:num w:numId="24" w16cid:durableId="672032853">
    <w:abstractNumId w:val="29"/>
  </w:num>
  <w:num w:numId="25" w16cid:durableId="48917541">
    <w:abstractNumId w:val="21"/>
  </w:num>
  <w:num w:numId="26" w16cid:durableId="978925443">
    <w:abstractNumId w:val="33"/>
  </w:num>
  <w:num w:numId="27" w16cid:durableId="1036613928">
    <w:abstractNumId w:val="40"/>
  </w:num>
  <w:num w:numId="28" w16cid:durableId="872039349">
    <w:abstractNumId w:val="6"/>
  </w:num>
  <w:num w:numId="29" w16cid:durableId="924530660">
    <w:abstractNumId w:val="2"/>
  </w:num>
  <w:num w:numId="30" w16cid:durableId="419180233">
    <w:abstractNumId w:val="23"/>
  </w:num>
  <w:num w:numId="31" w16cid:durableId="276761337">
    <w:abstractNumId w:val="22"/>
  </w:num>
  <w:num w:numId="32" w16cid:durableId="1166238383">
    <w:abstractNumId w:val="35"/>
  </w:num>
  <w:num w:numId="33" w16cid:durableId="2076850202">
    <w:abstractNumId w:val="34"/>
  </w:num>
  <w:num w:numId="34" w16cid:durableId="469176496">
    <w:abstractNumId w:val="12"/>
  </w:num>
  <w:num w:numId="35" w16cid:durableId="674843309">
    <w:abstractNumId w:val="19"/>
  </w:num>
  <w:num w:numId="36" w16cid:durableId="1954971501">
    <w:abstractNumId w:val="41"/>
  </w:num>
  <w:num w:numId="37" w16cid:durableId="193005996">
    <w:abstractNumId w:val="18"/>
  </w:num>
  <w:num w:numId="38" w16cid:durableId="825629251">
    <w:abstractNumId w:val="5"/>
  </w:num>
  <w:num w:numId="39" w16cid:durableId="862092612">
    <w:abstractNumId w:val="37"/>
  </w:num>
  <w:num w:numId="40" w16cid:durableId="913735614">
    <w:abstractNumId w:val="38"/>
  </w:num>
  <w:num w:numId="41" w16cid:durableId="1689483256">
    <w:abstractNumId w:val="1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oNotDisplayPageBoundaries/>
  <w:hideSpellingErrors/>
  <w:hideGrammaticalErrors/>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463"/>
    <w:rsid w:val="00007904"/>
    <w:rsid w:val="00007968"/>
    <w:rsid w:val="0001067A"/>
    <w:rsid w:val="00012188"/>
    <w:rsid w:val="00013CCE"/>
    <w:rsid w:val="000140D5"/>
    <w:rsid w:val="0001410B"/>
    <w:rsid w:val="000141D6"/>
    <w:rsid w:val="000148FE"/>
    <w:rsid w:val="00014A95"/>
    <w:rsid w:val="00015B5E"/>
    <w:rsid w:val="00015F1D"/>
    <w:rsid w:val="0001774B"/>
    <w:rsid w:val="00017F15"/>
    <w:rsid w:val="00020D0F"/>
    <w:rsid w:val="000215EB"/>
    <w:rsid w:val="00021E83"/>
    <w:rsid w:val="0002352E"/>
    <w:rsid w:val="00023713"/>
    <w:rsid w:val="00023C4D"/>
    <w:rsid w:val="00025E71"/>
    <w:rsid w:val="00026226"/>
    <w:rsid w:val="00026269"/>
    <w:rsid w:val="00027154"/>
    <w:rsid w:val="00027ECF"/>
    <w:rsid w:val="000303BE"/>
    <w:rsid w:val="00031AF0"/>
    <w:rsid w:val="00031B0A"/>
    <w:rsid w:val="0003234B"/>
    <w:rsid w:val="00033A94"/>
    <w:rsid w:val="00033CD6"/>
    <w:rsid w:val="000344D6"/>
    <w:rsid w:val="00034960"/>
    <w:rsid w:val="00035BF0"/>
    <w:rsid w:val="00036028"/>
    <w:rsid w:val="00036FAE"/>
    <w:rsid w:val="00041858"/>
    <w:rsid w:val="00041FC1"/>
    <w:rsid w:val="0004389E"/>
    <w:rsid w:val="00045CA6"/>
    <w:rsid w:val="000463A6"/>
    <w:rsid w:val="00046CC9"/>
    <w:rsid w:val="00046E91"/>
    <w:rsid w:val="00047BE6"/>
    <w:rsid w:val="000502FE"/>
    <w:rsid w:val="0005126D"/>
    <w:rsid w:val="00051299"/>
    <w:rsid w:val="00051992"/>
    <w:rsid w:val="00051E1F"/>
    <w:rsid w:val="00051E9A"/>
    <w:rsid w:val="000521A7"/>
    <w:rsid w:val="00052F47"/>
    <w:rsid w:val="000537BB"/>
    <w:rsid w:val="0005399B"/>
    <w:rsid w:val="00054DE6"/>
    <w:rsid w:val="000569D7"/>
    <w:rsid w:val="000576D7"/>
    <w:rsid w:val="00060F72"/>
    <w:rsid w:val="00061B3E"/>
    <w:rsid w:val="00062592"/>
    <w:rsid w:val="000629FC"/>
    <w:rsid w:val="000636A1"/>
    <w:rsid w:val="000649D9"/>
    <w:rsid w:val="000652BE"/>
    <w:rsid w:val="00065555"/>
    <w:rsid w:val="00066479"/>
    <w:rsid w:val="00066BD2"/>
    <w:rsid w:val="0006723C"/>
    <w:rsid w:val="00070376"/>
    <w:rsid w:val="00070630"/>
    <w:rsid w:val="0007081E"/>
    <w:rsid w:val="00070974"/>
    <w:rsid w:val="00070FE7"/>
    <w:rsid w:val="000710C1"/>
    <w:rsid w:val="00071EAD"/>
    <w:rsid w:val="00071F4E"/>
    <w:rsid w:val="00072271"/>
    <w:rsid w:val="00072B54"/>
    <w:rsid w:val="0007463D"/>
    <w:rsid w:val="00074979"/>
    <w:rsid w:val="000749F0"/>
    <w:rsid w:val="00074A0A"/>
    <w:rsid w:val="0007609D"/>
    <w:rsid w:val="00077C67"/>
    <w:rsid w:val="00080549"/>
    <w:rsid w:val="00080976"/>
    <w:rsid w:val="00081919"/>
    <w:rsid w:val="00081CEB"/>
    <w:rsid w:val="00081E60"/>
    <w:rsid w:val="00082D8E"/>
    <w:rsid w:val="00082E31"/>
    <w:rsid w:val="00083AA3"/>
    <w:rsid w:val="00085947"/>
    <w:rsid w:val="000868FE"/>
    <w:rsid w:val="000878D1"/>
    <w:rsid w:val="00090F4B"/>
    <w:rsid w:val="00091213"/>
    <w:rsid w:val="000920ED"/>
    <w:rsid w:val="000921AE"/>
    <w:rsid w:val="000921D7"/>
    <w:rsid w:val="000925FF"/>
    <w:rsid w:val="000932E0"/>
    <w:rsid w:val="00094853"/>
    <w:rsid w:val="00094C4C"/>
    <w:rsid w:val="00094F47"/>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B66E9"/>
    <w:rsid w:val="000C06C9"/>
    <w:rsid w:val="000C183C"/>
    <w:rsid w:val="000C1DCC"/>
    <w:rsid w:val="000C1FBC"/>
    <w:rsid w:val="000C2B6A"/>
    <w:rsid w:val="000C2F88"/>
    <w:rsid w:val="000C31EE"/>
    <w:rsid w:val="000C4D2F"/>
    <w:rsid w:val="000C55C8"/>
    <w:rsid w:val="000C57C4"/>
    <w:rsid w:val="000C5FD3"/>
    <w:rsid w:val="000C701D"/>
    <w:rsid w:val="000C773C"/>
    <w:rsid w:val="000C7C4A"/>
    <w:rsid w:val="000D17AA"/>
    <w:rsid w:val="000D2566"/>
    <w:rsid w:val="000D2D0B"/>
    <w:rsid w:val="000D3A2D"/>
    <w:rsid w:val="000D4660"/>
    <w:rsid w:val="000D705D"/>
    <w:rsid w:val="000D71F1"/>
    <w:rsid w:val="000D7EB9"/>
    <w:rsid w:val="000E0223"/>
    <w:rsid w:val="000E0CF3"/>
    <w:rsid w:val="000E18A8"/>
    <w:rsid w:val="000E1AEC"/>
    <w:rsid w:val="000E32CE"/>
    <w:rsid w:val="000E3937"/>
    <w:rsid w:val="000E4926"/>
    <w:rsid w:val="000E49B7"/>
    <w:rsid w:val="000E5F7F"/>
    <w:rsid w:val="000E7086"/>
    <w:rsid w:val="000E7C65"/>
    <w:rsid w:val="000F04D2"/>
    <w:rsid w:val="000F0739"/>
    <w:rsid w:val="000F2617"/>
    <w:rsid w:val="000F55B7"/>
    <w:rsid w:val="000F563F"/>
    <w:rsid w:val="000F604F"/>
    <w:rsid w:val="000F7399"/>
    <w:rsid w:val="00101BF1"/>
    <w:rsid w:val="001027F1"/>
    <w:rsid w:val="00103011"/>
    <w:rsid w:val="00104E00"/>
    <w:rsid w:val="00104F2E"/>
    <w:rsid w:val="00107072"/>
    <w:rsid w:val="001071E0"/>
    <w:rsid w:val="001072DD"/>
    <w:rsid w:val="001101E8"/>
    <w:rsid w:val="00110D7A"/>
    <w:rsid w:val="00110EC1"/>
    <w:rsid w:val="00111464"/>
    <w:rsid w:val="0011167D"/>
    <w:rsid w:val="00112892"/>
    <w:rsid w:val="00112A12"/>
    <w:rsid w:val="00112E48"/>
    <w:rsid w:val="001130EA"/>
    <w:rsid w:val="001138E8"/>
    <w:rsid w:val="00114259"/>
    <w:rsid w:val="001154D0"/>
    <w:rsid w:val="00116478"/>
    <w:rsid w:val="001168B2"/>
    <w:rsid w:val="00117C20"/>
    <w:rsid w:val="00120F0E"/>
    <w:rsid w:val="00121435"/>
    <w:rsid w:val="00121A5D"/>
    <w:rsid w:val="00121BED"/>
    <w:rsid w:val="00122CB8"/>
    <w:rsid w:val="00123D39"/>
    <w:rsid w:val="00123D77"/>
    <w:rsid w:val="001244CD"/>
    <w:rsid w:val="0012566F"/>
    <w:rsid w:val="001262B1"/>
    <w:rsid w:val="00130F41"/>
    <w:rsid w:val="00130FAF"/>
    <w:rsid w:val="001347C1"/>
    <w:rsid w:val="0013523C"/>
    <w:rsid w:val="00135F2B"/>
    <w:rsid w:val="001372DD"/>
    <w:rsid w:val="001405BA"/>
    <w:rsid w:val="00141497"/>
    <w:rsid w:val="0014253A"/>
    <w:rsid w:val="001425C8"/>
    <w:rsid w:val="001431AE"/>
    <w:rsid w:val="00143839"/>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703"/>
    <w:rsid w:val="001638D4"/>
    <w:rsid w:val="00164664"/>
    <w:rsid w:val="00164F15"/>
    <w:rsid w:val="001651A4"/>
    <w:rsid w:val="0016552B"/>
    <w:rsid w:val="0016696D"/>
    <w:rsid w:val="00166B04"/>
    <w:rsid w:val="001670A6"/>
    <w:rsid w:val="001701FA"/>
    <w:rsid w:val="00171183"/>
    <w:rsid w:val="00171F71"/>
    <w:rsid w:val="001725A5"/>
    <w:rsid w:val="00172681"/>
    <w:rsid w:val="0017312F"/>
    <w:rsid w:val="00173AC7"/>
    <w:rsid w:val="001745D7"/>
    <w:rsid w:val="00175754"/>
    <w:rsid w:val="001768B3"/>
    <w:rsid w:val="00176982"/>
    <w:rsid w:val="0017701C"/>
    <w:rsid w:val="001803A2"/>
    <w:rsid w:val="00181264"/>
    <w:rsid w:val="00181BD1"/>
    <w:rsid w:val="0018204A"/>
    <w:rsid w:val="00182F7C"/>
    <w:rsid w:val="001843B5"/>
    <w:rsid w:val="0018538B"/>
    <w:rsid w:val="00186829"/>
    <w:rsid w:val="001868CA"/>
    <w:rsid w:val="00187304"/>
    <w:rsid w:val="001875BE"/>
    <w:rsid w:val="00187F8A"/>
    <w:rsid w:val="0019017A"/>
    <w:rsid w:val="00190B8C"/>
    <w:rsid w:val="00190FF8"/>
    <w:rsid w:val="00191412"/>
    <w:rsid w:val="001930BD"/>
    <w:rsid w:val="0019311A"/>
    <w:rsid w:val="00193567"/>
    <w:rsid w:val="00193878"/>
    <w:rsid w:val="0019508A"/>
    <w:rsid w:val="001960D8"/>
    <w:rsid w:val="00196488"/>
    <w:rsid w:val="001A110F"/>
    <w:rsid w:val="001A1642"/>
    <w:rsid w:val="001A371B"/>
    <w:rsid w:val="001A4766"/>
    <w:rsid w:val="001A68C4"/>
    <w:rsid w:val="001A6A0D"/>
    <w:rsid w:val="001A6C51"/>
    <w:rsid w:val="001A6FAA"/>
    <w:rsid w:val="001A7511"/>
    <w:rsid w:val="001A7D73"/>
    <w:rsid w:val="001B0363"/>
    <w:rsid w:val="001B1355"/>
    <w:rsid w:val="001B2FC9"/>
    <w:rsid w:val="001B3138"/>
    <w:rsid w:val="001B3600"/>
    <w:rsid w:val="001B4160"/>
    <w:rsid w:val="001B465D"/>
    <w:rsid w:val="001B4E4B"/>
    <w:rsid w:val="001B50AC"/>
    <w:rsid w:val="001B5E05"/>
    <w:rsid w:val="001B6D68"/>
    <w:rsid w:val="001B6F2E"/>
    <w:rsid w:val="001C0344"/>
    <w:rsid w:val="001C0F2A"/>
    <w:rsid w:val="001C1A59"/>
    <w:rsid w:val="001C270F"/>
    <w:rsid w:val="001C4679"/>
    <w:rsid w:val="001C52C1"/>
    <w:rsid w:val="001C5770"/>
    <w:rsid w:val="001C6195"/>
    <w:rsid w:val="001D000A"/>
    <w:rsid w:val="001D0883"/>
    <w:rsid w:val="001D2205"/>
    <w:rsid w:val="001D2E18"/>
    <w:rsid w:val="001D3A1F"/>
    <w:rsid w:val="001D3FB6"/>
    <w:rsid w:val="001D4550"/>
    <w:rsid w:val="001D5498"/>
    <w:rsid w:val="001D5BAF"/>
    <w:rsid w:val="001D6401"/>
    <w:rsid w:val="001D66C9"/>
    <w:rsid w:val="001D722A"/>
    <w:rsid w:val="001D7AC4"/>
    <w:rsid w:val="001E04FC"/>
    <w:rsid w:val="001E407D"/>
    <w:rsid w:val="001E40FB"/>
    <w:rsid w:val="001E66EC"/>
    <w:rsid w:val="001E68C5"/>
    <w:rsid w:val="001E6BFC"/>
    <w:rsid w:val="001F0F63"/>
    <w:rsid w:val="001F3996"/>
    <w:rsid w:val="001F44A4"/>
    <w:rsid w:val="001F538C"/>
    <w:rsid w:val="001F56CF"/>
    <w:rsid w:val="001F579D"/>
    <w:rsid w:val="001F65EF"/>
    <w:rsid w:val="001F697B"/>
    <w:rsid w:val="002005A6"/>
    <w:rsid w:val="0020190C"/>
    <w:rsid w:val="00204CBC"/>
    <w:rsid w:val="002051F1"/>
    <w:rsid w:val="00205D82"/>
    <w:rsid w:val="002067BA"/>
    <w:rsid w:val="0021001B"/>
    <w:rsid w:val="0021058D"/>
    <w:rsid w:val="00210D3F"/>
    <w:rsid w:val="00211E2F"/>
    <w:rsid w:val="00211E9E"/>
    <w:rsid w:val="002140AC"/>
    <w:rsid w:val="00214FB4"/>
    <w:rsid w:val="00215940"/>
    <w:rsid w:val="00217C23"/>
    <w:rsid w:val="00220561"/>
    <w:rsid w:val="00220CE4"/>
    <w:rsid w:val="00221BDD"/>
    <w:rsid w:val="00222D9B"/>
    <w:rsid w:val="0022364D"/>
    <w:rsid w:val="00223788"/>
    <w:rsid w:val="00223D11"/>
    <w:rsid w:val="002242D3"/>
    <w:rsid w:val="002264A3"/>
    <w:rsid w:val="00226A0B"/>
    <w:rsid w:val="00227BB6"/>
    <w:rsid w:val="00227C1A"/>
    <w:rsid w:val="002301E6"/>
    <w:rsid w:val="002314E1"/>
    <w:rsid w:val="002318F3"/>
    <w:rsid w:val="00232555"/>
    <w:rsid w:val="00232F90"/>
    <w:rsid w:val="00233B08"/>
    <w:rsid w:val="00233C3B"/>
    <w:rsid w:val="0023499C"/>
    <w:rsid w:val="00235CB4"/>
    <w:rsid w:val="00235CE3"/>
    <w:rsid w:val="0023636A"/>
    <w:rsid w:val="00236F34"/>
    <w:rsid w:val="002372F7"/>
    <w:rsid w:val="00237775"/>
    <w:rsid w:val="002377F0"/>
    <w:rsid w:val="00237FA3"/>
    <w:rsid w:val="00237FAA"/>
    <w:rsid w:val="00240532"/>
    <w:rsid w:val="00240651"/>
    <w:rsid w:val="00240803"/>
    <w:rsid w:val="0024177C"/>
    <w:rsid w:val="0024275A"/>
    <w:rsid w:val="0024426D"/>
    <w:rsid w:val="00244714"/>
    <w:rsid w:val="00244F1D"/>
    <w:rsid w:val="00245004"/>
    <w:rsid w:val="00245FB4"/>
    <w:rsid w:val="00247350"/>
    <w:rsid w:val="00250898"/>
    <w:rsid w:val="00251EA9"/>
    <w:rsid w:val="00252843"/>
    <w:rsid w:val="002543F8"/>
    <w:rsid w:val="002551A4"/>
    <w:rsid w:val="002559F3"/>
    <w:rsid w:val="00256DFE"/>
    <w:rsid w:val="0025728D"/>
    <w:rsid w:val="00260041"/>
    <w:rsid w:val="00261D56"/>
    <w:rsid w:val="00261FD3"/>
    <w:rsid w:val="00263505"/>
    <w:rsid w:val="00264077"/>
    <w:rsid w:val="00266B9A"/>
    <w:rsid w:val="00267AAB"/>
    <w:rsid w:val="00270E54"/>
    <w:rsid w:val="00273633"/>
    <w:rsid w:val="00273681"/>
    <w:rsid w:val="00275176"/>
    <w:rsid w:val="002754B5"/>
    <w:rsid w:val="002759AC"/>
    <w:rsid w:val="002764C5"/>
    <w:rsid w:val="00276A5A"/>
    <w:rsid w:val="00276FAB"/>
    <w:rsid w:val="002772AE"/>
    <w:rsid w:val="00280613"/>
    <w:rsid w:val="002819C4"/>
    <w:rsid w:val="00281C4C"/>
    <w:rsid w:val="0028274D"/>
    <w:rsid w:val="00282B96"/>
    <w:rsid w:val="002833D6"/>
    <w:rsid w:val="00283F51"/>
    <w:rsid w:val="0028436A"/>
    <w:rsid w:val="0028585A"/>
    <w:rsid w:val="00286064"/>
    <w:rsid w:val="002867B1"/>
    <w:rsid w:val="002868FC"/>
    <w:rsid w:val="00286B0A"/>
    <w:rsid w:val="00286D06"/>
    <w:rsid w:val="00287BBB"/>
    <w:rsid w:val="00287E3B"/>
    <w:rsid w:val="00290638"/>
    <w:rsid w:val="00291763"/>
    <w:rsid w:val="00291D80"/>
    <w:rsid w:val="00292D9A"/>
    <w:rsid w:val="00292E82"/>
    <w:rsid w:val="00293156"/>
    <w:rsid w:val="0029331A"/>
    <w:rsid w:val="00293B98"/>
    <w:rsid w:val="00293BE7"/>
    <w:rsid w:val="00293D78"/>
    <w:rsid w:val="002946DC"/>
    <w:rsid w:val="0029493B"/>
    <w:rsid w:val="00294D43"/>
    <w:rsid w:val="0029751C"/>
    <w:rsid w:val="002A0C82"/>
    <w:rsid w:val="002A0CD8"/>
    <w:rsid w:val="002A13EB"/>
    <w:rsid w:val="002A1BBA"/>
    <w:rsid w:val="002A35EF"/>
    <w:rsid w:val="002A3DE0"/>
    <w:rsid w:val="002A40EA"/>
    <w:rsid w:val="002A41CA"/>
    <w:rsid w:val="002A423B"/>
    <w:rsid w:val="002A46E8"/>
    <w:rsid w:val="002A491C"/>
    <w:rsid w:val="002A4C8E"/>
    <w:rsid w:val="002B0392"/>
    <w:rsid w:val="002B1FEF"/>
    <w:rsid w:val="002B2DF8"/>
    <w:rsid w:val="002B3461"/>
    <w:rsid w:val="002B3473"/>
    <w:rsid w:val="002B354F"/>
    <w:rsid w:val="002B3614"/>
    <w:rsid w:val="002B400B"/>
    <w:rsid w:val="002B42A2"/>
    <w:rsid w:val="002B45D1"/>
    <w:rsid w:val="002B4819"/>
    <w:rsid w:val="002B4ED8"/>
    <w:rsid w:val="002B4FAA"/>
    <w:rsid w:val="002B52C2"/>
    <w:rsid w:val="002B7656"/>
    <w:rsid w:val="002C0642"/>
    <w:rsid w:val="002C0644"/>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5D7"/>
    <w:rsid w:val="002D4C30"/>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519"/>
    <w:rsid w:val="002F1683"/>
    <w:rsid w:val="002F1B19"/>
    <w:rsid w:val="002F1FBF"/>
    <w:rsid w:val="002F4139"/>
    <w:rsid w:val="002F47B9"/>
    <w:rsid w:val="002F6228"/>
    <w:rsid w:val="00300624"/>
    <w:rsid w:val="00300F56"/>
    <w:rsid w:val="00301006"/>
    <w:rsid w:val="00301C2B"/>
    <w:rsid w:val="00304A71"/>
    <w:rsid w:val="003066C8"/>
    <w:rsid w:val="0030739D"/>
    <w:rsid w:val="00307AFB"/>
    <w:rsid w:val="00310C5A"/>
    <w:rsid w:val="00310F43"/>
    <w:rsid w:val="00311184"/>
    <w:rsid w:val="00311E05"/>
    <w:rsid w:val="00312675"/>
    <w:rsid w:val="00313F3D"/>
    <w:rsid w:val="00314013"/>
    <w:rsid w:val="00314580"/>
    <w:rsid w:val="00314945"/>
    <w:rsid w:val="00315389"/>
    <w:rsid w:val="00315746"/>
    <w:rsid w:val="00315E96"/>
    <w:rsid w:val="00316E7D"/>
    <w:rsid w:val="00317812"/>
    <w:rsid w:val="00317FC8"/>
    <w:rsid w:val="0032087C"/>
    <w:rsid w:val="003223D7"/>
    <w:rsid w:val="003226DE"/>
    <w:rsid w:val="00323529"/>
    <w:rsid w:val="00323D9F"/>
    <w:rsid w:val="00324FDB"/>
    <w:rsid w:val="0032560C"/>
    <w:rsid w:val="00325F48"/>
    <w:rsid w:val="003273CD"/>
    <w:rsid w:val="00330234"/>
    <w:rsid w:val="003317EF"/>
    <w:rsid w:val="0033194F"/>
    <w:rsid w:val="00331969"/>
    <w:rsid w:val="00332304"/>
    <w:rsid w:val="003323F8"/>
    <w:rsid w:val="00332406"/>
    <w:rsid w:val="00332D8D"/>
    <w:rsid w:val="00334452"/>
    <w:rsid w:val="003351BE"/>
    <w:rsid w:val="00336B56"/>
    <w:rsid w:val="00341B25"/>
    <w:rsid w:val="00341EC0"/>
    <w:rsid w:val="0034240C"/>
    <w:rsid w:val="0034374F"/>
    <w:rsid w:val="00344496"/>
    <w:rsid w:val="00345968"/>
    <w:rsid w:val="00347667"/>
    <w:rsid w:val="003507E2"/>
    <w:rsid w:val="00351C93"/>
    <w:rsid w:val="003522B2"/>
    <w:rsid w:val="0035455E"/>
    <w:rsid w:val="00354A6F"/>
    <w:rsid w:val="00354B48"/>
    <w:rsid w:val="00355789"/>
    <w:rsid w:val="003609B6"/>
    <w:rsid w:val="00361119"/>
    <w:rsid w:val="00364BD5"/>
    <w:rsid w:val="00364C42"/>
    <w:rsid w:val="0036538D"/>
    <w:rsid w:val="00365D12"/>
    <w:rsid w:val="00366382"/>
    <w:rsid w:val="00366E20"/>
    <w:rsid w:val="0037018D"/>
    <w:rsid w:val="0037137C"/>
    <w:rsid w:val="00372299"/>
    <w:rsid w:val="00372F02"/>
    <w:rsid w:val="00373729"/>
    <w:rsid w:val="00373C91"/>
    <w:rsid w:val="003748F0"/>
    <w:rsid w:val="003755C6"/>
    <w:rsid w:val="00375AEF"/>
    <w:rsid w:val="00376367"/>
    <w:rsid w:val="00376B02"/>
    <w:rsid w:val="00377201"/>
    <w:rsid w:val="0037733A"/>
    <w:rsid w:val="003776DC"/>
    <w:rsid w:val="003779C1"/>
    <w:rsid w:val="00380285"/>
    <w:rsid w:val="00380FEC"/>
    <w:rsid w:val="00381226"/>
    <w:rsid w:val="00381B1B"/>
    <w:rsid w:val="00381FF6"/>
    <w:rsid w:val="00383D7D"/>
    <w:rsid w:val="00384CCE"/>
    <w:rsid w:val="003865E5"/>
    <w:rsid w:val="003926C1"/>
    <w:rsid w:val="00392900"/>
    <w:rsid w:val="00392DDF"/>
    <w:rsid w:val="00392E5F"/>
    <w:rsid w:val="00393357"/>
    <w:rsid w:val="00395008"/>
    <w:rsid w:val="00395E7B"/>
    <w:rsid w:val="00395F4C"/>
    <w:rsid w:val="0039D3CC"/>
    <w:rsid w:val="003A08F6"/>
    <w:rsid w:val="003A10F6"/>
    <w:rsid w:val="003A2C02"/>
    <w:rsid w:val="003A44C9"/>
    <w:rsid w:val="003A51C5"/>
    <w:rsid w:val="003A5A73"/>
    <w:rsid w:val="003A5DAC"/>
    <w:rsid w:val="003A6591"/>
    <w:rsid w:val="003A6E9A"/>
    <w:rsid w:val="003A7067"/>
    <w:rsid w:val="003A7ECB"/>
    <w:rsid w:val="003B08C8"/>
    <w:rsid w:val="003B1D72"/>
    <w:rsid w:val="003B2567"/>
    <w:rsid w:val="003B381A"/>
    <w:rsid w:val="003B46CC"/>
    <w:rsid w:val="003B4976"/>
    <w:rsid w:val="003B4B3F"/>
    <w:rsid w:val="003B6258"/>
    <w:rsid w:val="003B7A99"/>
    <w:rsid w:val="003C0343"/>
    <w:rsid w:val="003C1C32"/>
    <w:rsid w:val="003C3578"/>
    <w:rsid w:val="003C40DA"/>
    <w:rsid w:val="003C42BA"/>
    <w:rsid w:val="003C462F"/>
    <w:rsid w:val="003C4A02"/>
    <w:rsid w:val="003C4F05"/>
    <w:rsid w:val="003C6191"/>
    <w:rsid w:val="003C6E49"/>
    <w:rsid w:val="003C78C9"/>
    <w:rsid w:val="003D0CBF"/>
    <w:rsid w:val="003D0DD6"/>
    <w:rsid w:val="003D180D"/>
    <w:rsid w:val="003D4B73"/>
    <w:rsid w:val="003D503B"/>
    <w:rsid w:val="003D5905"/>
    <w:rsid w:val="003D605E"/>
    <w:rsid w:val="003D61D1"/>
    <w:rsid w:val="003D6780"/>
    <w:rsid w:val="003D6FCB"/>
    <w:rsid w:val="003D7135"/>
    <w:rsid w:val="003D7187"/>
    <w:rsid w:val="003D7C29"/>
    <w:rsid w:val="003E0F84"/>
    <w:rsid w:val="003E1FF3"/>
    <w:rsid w:val="003E3ACA"/>
    <w:rsid w:val="003E4E33"/>
    <w:rsid w:val="003E50EA"/>
    <w:rsid w:val="003E68C7"/>
    <w:rsid w:val="003E7313"/>
    <w:rsid w:val="003E79B0"/>
    <w:rsid w:val="003F0403"/>
    <w:rsid w:val="003F0B58"/>
    <w:rsid w:val="003F1094"/>
    <w:rsid w:val="003F2762"/>
    <w:rsid w:val="003F2E45"/>
    <w:rsid w:val="003F382D"/>
    <w:rsid w:val="003F3CB2"/>
    <w:rsid w:val="003F3EFE"/>
    <w:rsid w:val="003F40B8"/>
    <w:rsid w:val="003F5C06"/>
    <w:rsid w:val="003F5F10"/>
    <w:rsid w:val="00400195"/>
    <w:rsid w:val="00400C20"/>
    <w:rsid w:val="00401AE0"/>
    <w:rsid w:val="0040254B"/>
    <w:rsid w:val="00403086"/>
    <w:rsid w:val="004033CF"/>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2D6A"/>
    <w:rsid w:val="004332A4"/>
    <w:rsid w:val="0043453F"/>
    <w:rsid w:val="00434A74"/>
    <w:rsid w:val="00434CA4"/>
    <w:rsid w:val="004350F4"/>
    <w:rsid w:val="00435655"/>
    <w:rsid w:val="00435AD5"/>
    <w:rsid w:val="00437929"/>
    <w:rsid w:val="00437A4A"/>
    <w:rsid w:val="00440541"/>
    <w:rsid w:val="0044162D"/>
    <w:rsid w:val="0044277A"/>
    <w:rsid w:val="004434EF"/>
    <w:rsid w:val="00444271"/>
    <w:rsid w:val="004456DC"/>
    <w:rsid w:val="004463D2"/>
    <w:rsid w:val="00447FBE"/>
    <w:rsid w:val="0045021A"/>
    <w:rsid w:val="0045035E"/>
    <w:rsid w:val="0045175A"/>
    <w:rsid w:val="00451ED9"/>
    <w:rsid w:val="00452180"/>
    <w:rsid w:val="00453072"/>
    <w:rsid w:val="00453960"/>
    <w:rsid w:val="0045399D"/>
    <w:rsid w:val="004539F8"/>
    <w:rsid w:val="00453F26"/>
    <w:rsid w:val="0045503F"/>
    <w:rsid w:val="0045520D"/>
    <w:rsid w:val="00455273"/>
    <w:rsid w:val="00457075"/>
    <w:rsid w:val="0045740E"/>
    <w:rsid w:val="00460905"/>
    <w:rsid w:val="00460E2C"/>
    <w:rsid w:val="00460FF0"/>
    <w:rsid w:val="00461E35"/>
    <w:rsid w:val="004621DB"/>
    <w:rsid w:val="004634A7"/>
    <w:rsid w:val="00463787"/>
    <w:rsid w:val="00466926"/>
    <w:rsid w:val="00466B3A"/>
    <w:rsid w:val="00466FDA"/>
    <w:rsid w:val="004671D0"/>
    <w:rsid w:val="004674D1"/>
    <w:rsid w:val="00470773"/>
    <w:rsid w:val="00471FF9"/>
    <w:rsid w:val="00473E74"/>
    <w:rsid w:val="00473FEF"/>
    <w:rsid w:val="00475B8E"/>
    <w:rsid w:val="00476DE1"/>
    <w:rsid w:val="00480769"/>
    <w:rsid w:val="0048104E"/>
    <w:rsid w:val="004814BB"/>
    <w:rsid w:val="004815DA"/>
    <w:rsid w:val="00482458"/>
    <w:rsid w:val="004835F5"/>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0FE4"/>
    <w:rsid w:val="00492457"/>
    <w:rsid w:val="004924A8"/>
    <w:rsid w:val="004934BA"/>
    <w:rsid w:val="004934E9"/>
    <w:rsid w:val="00494737"/>
    <w:rsid w:val="00494D5C"/>
    <w:rsid w:val="0049551B"/>
    <w:rsid w:val="00495A6A"/>
    <w:rsid w:val="00495D5E"/>
    <w:rsid w:val="004964F6"/>
    <w:rsid w:val="0049672D"/>
    <w:rsid w:val="00496821"/>
    <w:rsid w:val="00497750"/>
    <w:rsid w:val="00497B44"/>
    <w:rsid w:val="004A00E5"/>
    <w:rsid w:val="004A01A7"/>
    <w:rsid w:val="004A0A27"/>
    <w:rsid w:val="004A0D09"/>
    <w:rsid w:val="004A116E"/>
    <w:rsid w:val="004A1226"/>
    <w:rsid w:val="004A357F"/>
    <w:rsid w:val="004A3734"/>
    <w:rsid w:val="004A3DAD"/>
    <w:rsid w:val="004B0205"/>
    <w:rsid w:val="004B0335"/>
    <w:rsid w:val="004B0F1C"/>
    <w:rsid w:val="004B1E61"/>
    <w:rsid w:val="004B21AB"/>
    <w:rsid w:val="004B3C59"/>
    <w:rsid w:val="004B59E0"/>
    <w:rsid w:val="004B5C78"/>
    <w:rsid w:val="004B667B"/>
    <w:rsid w:val="004B71C7"/>
    <w:rsid w:val="004C03AA"/>
    <w:rsid w:val="004C0B9A"/>
    <w:rsid w:val="004C10BE"/>
    <w:rsid w:val="004C14E7"/>
    <w:rsid w:val="004C1D89"/>
    <w:rsid w:val="004C28D5"/>
    <w:rsid w:val="004C2A94"/>
    <w:rsid w:val="004C2CD0"/>
    <w:rsid w:val="004C2FA5"/>
    <w:rsid w:val="004C3DAB"/>
    <w:rsid w:val="004C5280"/>
    <w:rsid w:val="004C5766"/>
    <w:rsid w:val="004C5F54"/>
    <w:rsid w:val="004C6E76"/>
    <w:rsid w:val="004C77DD"/>
    <w:rsid w:val="004C7826"/>
    <w:rsid w:val="004C7B33"/>
    <w:rsid w:val="004C7BF7"/>
    <w:rsid w:val="004D1410"/>
    <w:rsid w:val="004D1478"/>
    <w:rsid w:val="004D19EE"/>
    <w:rsid w:val="004D1CF2"/>
    <w:rsid w:val="004D2D3A"/>
    <w:rsid w:val="004D2EB5"/>
    <w:rsid w:val="004D374D"/>
    <w:rsid w:val="004D3DEC"/>
    <w:rsid w:val="004D419E"/>
    <w:rsid w:val="004D42C8"/>
    <w:rsid w:val="004D4F57"/>
    <w:rsid w:val="004D50F6"/>
    <w:rsid w:val="004D571E"/>
    <w:rsid w:val="004D5A0D"/>
    <w:rsid w:val="004D7910"/>
    <w:rsid w:val="004D7DEA"/>
    <w:rsid w:val="004E0A28"/>
    <w:rsid w:val="004E1A0F"/>
    <w:rsid w:val="004E2E89"/>
    <w:rsid w:val="004E33C2"/>
    <w:rsid w:val="004E3B9A"/>
    <w:rsid w:val="004E4275"/>
    <w:rsid w:val="004E446C"/>
    <w:rsid w:val="004E49B0"/>
    <w:rsid w:val="004E4D36"/>
    <w:rsid w:val="004E60D2"/>
    <w:rsid w:val="004E62DE"/>
    <w:rsid w:val="004E691F"/>
    <w:rsid w:val="004E6B05"/>
    <w:rsid w:val="004E76A1"/>
    <w:rsid w:val="004E77D2"/>
    <w:rsid w:val="004F05DE"/>
    <w:rsid w:val="004F4B43"/>
    <w:rsid w:val="004F6376"/>
    <w:rsid w:val="004F68F0"/>
    <w:rsid w:val="004F6A93"/>
    <w:rsid w:val="004F6F14"/>
    <w:rsid w:val="004F7230"/>
    <w:rsid w:val="004F728D"/>
    <w:rsid w:val="004F76D9"/>
    <w:rsid w:val="004F79A6"/>
    <w:rsid w:val="0050035A"/>
    <w:rsid w:val="00500D36"/>
    <w:rsid w:val="00501BF5"/>
    <w:rsid w:val="00501D8B"/>
    <w:rsid w:val="005029FC"/>
    <w:rsid w:val="00503A3E"/>
    <w:rsid w:val="00503C6A"/>
    <w:rsid w:val="00503F59"/>
    <w:rsid w:val="005049A7"/>
    <w:rsid w:val="005053B2"/>
    <w:rsid w:val="00506331"/>
    <w:rsid w:val="00507D11"/>
    <w:rsid w:val="00507FA2"/>
    <w:rsid w:val="00510662"/>
    <w:rsid w:val="005109B7"/>
    <w:rsid w:val="00510A19"/>
    <w:rsid w:val="00511AAB"/>
    <w:rsid w:val="00511CAD"/>
    <w:rsid w:val="005132C9"/>
    <w:rsid w:val="00514C55"/>
    <w:rsid w:val="00514D10"/>
    <w:rsid w:val="00515DE6"/>
    <w:rsid w:val="00516783"/>
    <w:rsid w:val="005171FB"/>
    <w:rsid w:val="00517886"/>
    <w:rsid w:val="00517B49"/>
    <w:rsid w:val="00517C6E"/>
    <w:rsid w:val="00517EF8"/>
    <w:rsid w:val="00520083"/>
    <w:rsid w:val="0052029E"/>
    <w:rsid w:val="0052059A"/>
    <w:rsid w:val="0052076A"/>
    <w:rsid w:val="00520A2C"/>
    <w:rsid w:val="00520E25"/>
    <w:rsid w:val="0052183D"/>
    <w:rsid w:val="0052234A"/>
    <w:rsid w:val="00522A98"/>
    <w:rsid w:val="00522B01"/>
    <w:rsid w:val="00522F44"/>
    <w:rsid w:val="0052360A"/>
    <w:rsid w:val="005242BA"/>
    <w:rsid w:val="005243B8"/>
    <w:rsid w:val="00524D0D"/>
    <w:rsid w:val="0052521D"/>
    <w:rsid w:val="005252DD"/>
    <w:rsid w:val="00526DB3"/>
    <w:rsid w:val="00530A8D"/>
    <w:rsid w:val="00531C6D"/>
    <w:rsid w:val="005322F7"/>
    <w:rsid w:val="00532EF4"/>
    <w:rsid w:val="005347CE"/>
    <w:rsid w:val="005352A9"/>
    <w:rsid w:val="00535477"/>
    <w:rsid w:val="00535DEA"/>
    <w:rsid w:val="005369C0"/>
    <w:rsid w:val="0053723A"/>
    <w:rsid w:val="005375D9"/>
    <w:rsid w:val="00537636"/>
    <w:rsid w:val="00537B1D"/>
    <w:rsid w:val="00540191"/>
    <w:rsid w:val="00540A2A"/>
    <w:rsid w:val="00541F27"/>
    <w:rsid w:val="00542297"/>
    <w:rsid w:val="005424BC"/>
    <w:rsid w:val="00542A28"/>
    <w:rsid w:val="005441D4"/>
    <w:rsid w:val="00545B43"/>
    <w:rsid w:val="00546360"/>
    <w:rsid w:val="0054672D"/>
    <w:rsid w:val="0054778F"/>
    <w:rsid w:val="00550EC4"/>
    <w:rsid w:val="00550F4E"/>
    <w:rsid w:val="00551E98"/>
    <w:rsid w:val="005532B5"/>
    <w:rsid w:val="00553586"/>
    <w:rsid w:val="00554A05"/>
    <w:rsid w:val="00555849"/>
    <w:rsid w:val="005559A8"/>
    <w:rsid w:val="00557048"/>
    <w:rsid w:val="00557FB5"/>
    <w:rsid w:val="00561AED"/>
    <w:rsid w:val="005648A8"/>
    <w:rsid w:val="005649C8"/>
    <w:rsid w:val="00564DE3"/>
    <w:rsid w:val="00564E44"/>
    <w:rsid w:val="00565B1E"/>
    <w:rsid w:val="00566C6A"/>
    <w:rsid w:val="00566CE5"/>
    <w:rsid w:val="00566D36"/>
    <w:rsid w:val="0057163A"/>
    <w:rsid w:val="0057174D"/>
    <w:rsid w:val="00571937"/>
    <w:rsid w:val="005726E8"/>
    <w:rsid w:val="00572E21"/>
    <w:rsid w:val="00573569"/>
    <w:rsid w:val="00573871"/>
    <w:rsid w:val="0057389E"/>
    <w:rsid w:val="00574034"/>
    <w:rsid w:val="00574242"/>
    <w:rsid w:val="00574A6C"/>
    <w:rsid w:val="00575C42"/>
    <w:rsid w:val="005765C0"/>
    <w:rsid w:val="005778DE"/>
    <w:rsid w:val="00580B3F"/>
    <w:rsid w:val="005825F2"/>
    <w:rsid w:val="0058344D"/>
    <w:rsid w:val="00583885"/>
    <w:rsid w:val="005860AF"/>
    <w:rsid w:val="00586BD0"/>
    <w:rsid w:val="00587ECF"/>
    <w:rsid w:val="00587F1D"/>
    <w:rsid w:val="00590348"/>
    <w:rsid w:val="005906BB"/>
    <w:rsid w:val="00591161"/>
    <w:rsid w:val="005922DE"/>
    <w:rsid w:val="00592318"/>
    <w:rsid w:val="00593133"/>
    <w:rsid w:val="00593637"/>
    <w:rsid w:val="0059575D"/>
    <w:rsid w:val="00595E75"/>
    <w:rsid w:val="00596825"/>
    <w:rsid w:val="005A0188"/>
    <w:rsid w:val="005A06A0"/>
    <w:rsid w:val="005A150A"/>
    <w:rsid w:val="005A2B3E"/>
    <w:rsid w:val="005A3465"/>
    <w:rsid w:val="005A3644"/>
    <w:rsid w:val="005A4087"/>
    <w:rsid w:val="005A4533"/>
    <w:rsid w:val="005A4B18"/>
    <w:rsid w:val="005A537E"/>
    <w:rsid w:val="005A5736"/>
    <w:rsid w:val="005A62F5"/>
    <w:rsid w:val="005A6F43"/>
    <w:rsid w:val="005A767D"/>
    <w:rsid w:val="005A775C"/>
    <w:rsid w:val="005B00F1"/>
    <w:rsid w:val="005B0C13"/>
    <w:rsid w:val="005B0CE7"/>
    <w:rsid w:val="005B10E2"/>
    <w:rsid w:val="005B1803"/>
    <w:rsid w:val="005B277C"/>
    <w:rsid w:val="005B2FBF"/>
    <w:rsid w:val="005B4079"/>
    <w:rsid w:val="005B428E"/>
    <w:rsid w:val="005B5B3C"/>
    <w:rsid w:val="005B64CB"/>
    <w:rsid w:val="005B65C0"/>
    <w:rsid w:val="005B6AAA"/>
    <w:rsid w:val="005B7554"/>
    <w:rsid w:val="005B7C78"/>
    <w:rsid w:val="005C07B0"/>
    <w:rsid w:val="005C0FB2"/>
    <w:rsid w:val="005C1169"/>
    <w:rsid w:val="005C16E2"/>
    <w:rsid w:val="005C24EF"/>
    <w:rsid w:val="005C2796"/>
    <w:rsid w:val="005C2CC0"/>
    <w:rsid w:val="005C3A59"/>
    <w:rsid w:val="005C3C6C"/>
    <w:rsid w:val="005C3F4C"/>
    <w:rsid w:val="005C43AA"/>
    <w:rsid w:val="005C48C8"/>
    <w:rsid w:val="005C56D3"/>
    <w:rsid w:val="005C663C"/>
    <w:rsid w:val="005D0750"/>
    <w:rsid w:val="005D1023"/>
    <w:rsid w:val="005D148F"/>
    <w:rsid w:val="005D2AD2"/>
    <w:rsid w:val="005D3042"/>
    <w:rsid w:val="005D3272"/>
    <w:rsid w:val="005D3762"/>
    <w:rsid w:val="005D3F58"/>
    <w:rsid w:val="005D4A86"/>
    <w:rsid w:val="005D4F78"/>
    <w:rsid w:val="005D5EB1"/>
    <w:rsid w:val="005D6222"/>
    <w:rsid w:val="005D6A29"/>
    <w:rsid w:val="005D7267"/>
    <w:rsid w:val="005E0481"/>
    <w:rsid w:val="005E0815"/>
    <w:rsid w:val="005E10BF"/>
    <w:rsid w:val="005E1834"/>
    <w:rsid w:val="005E49E5"/>
    <w:rsid w:val="005E4E00"/>
    <w:rsid w:val="005E5481"/>
    <w:rsid w:val="005E55E4"/>
    <w:rsid w:val="005E6C5F"/>
    <w:rsid w:val="005E7636"/>
    <w:rsid w:val="005F028E"/>
    <w:rsid w:val="005F04B4"/>
    <w:rsid w:val="005F11A4"/>
    <w:rsid w:val="005F19F8"/>
    <w:rsid w:val="005F35B4"/>
    <w:rsid w:val="005F3768"/>
    <w:rsid w:val="005F3FB1"/>
    <w:rsid w:val="005F4C33"/>
    <w:rsid w:val="005F4D29"/>
    <w:rsid w:val="005F5ACF"/>
    <w:rsid w:val="005F60DC"/>
    <w:rsid w:val="005F7979"/>
    <w:rsid w:val="006000DD"/>
    <w:rsid w:val="00600E82"/>
    <w:rsid w:val="00600F63"/>
    <w:rsid w:val="006012E1"/>
    <w:rsid w:val="00602253"/>
    <w:rsid w:val="006023E1"/>
    <w:rsid w:val="00605531"/>
    <w:rsid w:val="00605748"/>
    <w:rsid w:val="006057C5"/>
    <w:rsid w:val="00606240"/>
    <w:rsid w:val="006063F6"/>
    <w:rsid w:val="00606497"/>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AA1"/>
    <w:rsid w:val="00616B9B"/>
    <w:rsid w:val="00616D52"/>
    <w:rsid w:val="00617520"/>
    <w:rsid w:val="0062022D"/>
    <w:rsid w:val="00620D7C"/>
    <w:rsid w:val="00621089"/>
    <w:rsid w:val="006218A9"/>
    <w:rsid w:val="00621E1F"/>
    <w:rsid w:val="006224D7"/>
    <w:rsid w:val="006228B2"/>
    <w:rsid w:val="006228E1"/>
    <w:rsid w:val="00622E32"/>
    <w:rsid w:val="00623688"/>
    <w:rsid w:val="006247E0"/>
    <w:rsid w:val="00625F82"/>
    <w:rsid w:val="00627823"/>
    <w:rsid w:val="00627999"/>
    <w:rsid w:val="00630FF7"/>
    <w:rsid w:val="00633433"/>
    <w:rsid w:val="006337F1"/>
    <w:rsid w:val="006341B5"/>
    <w:rsid w:val="006346C9"/>
    <w:rsid w:val="00634727"/>
    <w:rsid w:val="00634B64"/>
    <w:rsid w:val="0063578C"/>
    <w:rsid w:val="0063642C"/>
    <w:rsid w:val="0063681E"/>
    <w:rsid w:val="00636FF9"/>
    <w:rsid w:val="00640564"/>
    <w:rsid w:val="00640DCD"/>
    <w:rsid w:val="00641DC3"/>
    <w:rsid w:val="00642972"/>
    <w:rsid w:val="00644F4D"/>
    <w:rsid w:val="006469B1"/>
    <w:rsid w:val="00646C0D"/>
    <w:rsid w:val="00646C30"/>
    <w:rsid w:val="006476F7"/>
    <w:rsid w:val="0064779E"/>
    <w:rsid w:val="006501FA"/>
    <w:rsid w:val="00650582"/>
    <w:rsid w:val="006509B0"/>
    <w:rsid w:val="006521F3"/>
    <w:rsid w:val="006524D5"/>
    <w:rsid w:val="00652BBD"/>
    <w:rsid w:val="00653633"/>
    <w:rsid w:val="00653F69"/>
    <w:rsid w:val="0065443D"/>
    <w:rsid w:val="00654936"/>
    <w:rsid w:val="00655485"/>
    <w:rsid w:val="006558B3"/>
    <w:rsid w:val="0065757C"/>
    <w:rsid w:val="00657693"/>
    <w:rsid w:val="0066013C"/>
    <w:rsid w:val="00660BF0"/>
    <w:rsid w:val="006614A5"/>
    <w:rsid w:val="0066189C"/>
    <w:rsid w:val="006630CF"/>
    <w:rsid w:val="00663EFF"/>
    <w:rsid w:val="00664FFB"/>
    <w:rsid w:val="006661CA"/>
    <w:rsid w:val="00666A2A"/>
    <w:rsid w:val="00666F74"/>
    <w:rsid w:val="00667FEA"/>
    <w:rsid w:val="006710D2"/>
    <w:rsid w:val="00671A8B"/>
    <w:rsid w:val="00671CD4"/>
    <w:rsid w:val="00671F53"/>
    <w:rsid w:val="006725A0"/>
    <w:rsid w:val="006725A4"/>
    <w:rsid w:val="00672823"/>
    <w:rsid w:val="00674628"/>
    <w:rsid w:val="0067493A"/>
    <w:rsid w:val="0067555E"/>
    <w:rsid w:val="006755EC"/>
    <w:rsid w:val="00677FAD"/>
    <w:rsid w:val="006802DE"/>
    <w:rsid w:val="0068032D"/>
    <w:rsid w:val="0068068C"/>
    <w:rsid w:val="00681115"/>
    <w:rsid w:val="0068190F"/>
    <w:rsid w:val="00683920"/>
    <w:rsid w:val="00685147"/>
    <w:rsid w:val="00685653"/>
    <w:rsid w:val="0068590D"/>
    <w:rsid w:val="00685A89"/>
    <w:rsid w:val="006861B3"/>
    <w:rsid w:val="00686FA2"/>
    <w:rsid w:val="006870C5"/>
    <w:rsid w:val="006906F9"/>
    <w:rsid w:val="00690F0E"/>
    <w:rsid w:val="006911C0"/>
    <w:rsid w:val="00691B7C"/>
    <w:rsid w:val="00692ADF"/>
    <w:rsid w:val="00693907"/>
    <w:rsid w:val="00694B73"/>
    <w:rsid w:val="00694DF2"/>
    <w:rsid w:val="006950DC"/>
    <w:rsid w:val="00695F80"/>
    <w:rsid w:val="006966CD"/>
    <w:rsid w:val="00696735"/>
    <w:rsid w:val="006973F4"/>
    <w:rsid w:val="0069780E"/>
    <w:rsid w:val="006A2CA2"/>
    <w:rsid w:val="006A3721"/>
    <w:rsid w:val="006A7D3F"/>
    <w:rsid w:val="006B16FC"/>
    <w:rsid w:val="006B2067"/>
    <w:rsid w:val="006B2D40"/>
    <w:rsid w:val="006B34DF"/>
    <w:rsid w:val="006B39B2"/>
    <w:rsid w:val="006B3AF9"/>
    <w:rsid w:val="006B45A0"/>
    <w:rsid w:val="006B554D"/>
    <w:rsid w:val="006B5668"/>
    <w:rsid w:val="006B5DF1"/>
    <w:rsid w:val="006B5F71"/>
    <w:rsid w:val="006B6E44"/>
    <w:rsid w:val="006B7059"/>
    <w:rsid w:val="006B7287"/>
    <w:rsid w:val="006B74B9"/>
    <w:rsid w:val="006B7591"/>
    <w:rsid w:val="006B7AE9"/>
    <w:rsid w:val="006B7F2E"/>
    <w:rsid w:val="006C0BF8"/>
    <w:rsid w:val="006C2253"/>
    <w:rsid w:val="006C2CCB"/>
    <w:rsid w:val="006C37E6"/>
    <w:rsid w:val="006C4334"/>
    <w:rsid w:val="006C4B0F"/>
    <w:rsid w:val="006C5E96"/>
    <w:rsid w:val="006D399F"/>
    <w:rsid w:val="006D4F0C"/>
    <w:rsid w:val="006D5645"/>
    <w:rsid w:val="006D75F9"/>
    <w:rsid w:val="006E0C8A"/>
    <w:rsid w:val="006E2A23"/>
    <w:rsid w:val="006E3590"/>
    <w:rsid w:val="006E35E5"/>
    <w:rsid w:val="006E3C72"/>
    <w:rsid w:val="006E4F20"/>
    <w:rsid w:val="006E649A"/>
    <w:rsid w:val="006E682A"/>
    <w:rsid w:val="006F03D1"/>
    <w:rsid w:val="006F08DC"/>
    <w:rsid w:val="006F3948"/>
    <w:rsid w:val="006F4403"/>
    <w:rsid w:val="006F45EC"/>
    <w:rsid w:val="006F47B8"/>
    <w:rsid w:val="006F47D2"/>
    <w:rsid w:val="006F4B04"/>
    <w:rsid w:val="006F5456"/>
    <w:rsid w:val="006F57F2"/>
    <w:rsid w:val="006F6468"/>
    <w:rsid w:val="006F676F"/>
    <w:rsid w:val="006F71FA"/>
    <w:rsid w:val="00700247"/>
    <w:rsid w:val="00701051"/>
    <w:rsid w:val="00701E69"/>
    <w:rsid w:val="007021C2"/>
    <w:rsid w:val="00702502"/>
    <w:rsid w:val="00702584"/>
    <w:rsid w:val="00702624"/>
    <w:rsid w:val="007033A8"/>
    <w:rsid w:val="0070421B"/>
    <w:rsid w:val="00704380"/>
    <w:rsid w:val="007043F0"/>
    <w:rsid w:val="0070482E"/>
    <w:rsid w:val="00704D25"/>
    <w:rsid w:val="00704FEF"/>
    <w:rsid w:val="00705AAA"/>
    <w:rsid w:val="00705E81"/>
    <w:rsid w:val="007079E1"/>
    <w:rsid w:val="00710519"/>
    <w:rsid w:val="00710EB2"/>
    <w:rsid w:val="00710F6E"/>
    <w:rsid w:val="00711663"/>
    <w:rsid w:val="007116B4"/>
    <w:rsid w:val="007121FB"/>
    <w:rsid w:val="007122C4"/>
    <w:rsid w:val="00712580"/>
    <w:rsid w:val="007133E4"/>
    <w:rsid w:val="00713788"/>
    <w:rsid w:val="00713940"/>
    <w:rsid w:val="007151A2"/>
    <w:rsid w:val="00715D60"/>
    <w:rsid w:val="00716774"/>
    <w:rsid w:val="0071740A"/>
    <w:rsid w:val="007209DD"/>
    <w:rsid w:val="00721ED8"/>
    <w:rsid w:val="00722C1D"/>
    <w:rsid w:val="00722E49"/>
    <w:rsid w:val="00723A08"/>
    <w:rsid w:val="00723B5C"/>
    <w:rsid w:val="00724208"/>
    <w:rsid w:val="00724391"/>
    <w:rsid w:val="0072469E"/>
    <w:rsid w:val="00724C18"/>
    <w:rsid w:val="00725182"/>
    <w:rsid w:val="00725FB1"/>
    <w:rsid w:val="00726630"/>
    <w:rsid w:val="00727F73"/>
    <w:rsid w:val="00730705"/>
    <w:rsid w:val="00730944"/>
    <w:rsid w:val="00731475"/>
    <w:rsid w:val="00731EA0"/>
    <w:rsid w:val="0073248E"/>
    <w:rsid w:val="00733EE9"/>
    <w:rsid w:val="00735B8E"/>
    <w:rsid w:val="00736651"/>
    <w:rsid w:val="0073673C"/>
    <w:rsid w:val="00736935"/>
    <w:rsid w:val="007378EC"/>
    <w:rsid w:val="00737DD9"/>
    <w:rsid w:val="007408D2"/>
    <w:rsid w:val="00740FFD"/>
    <w:rsid w:val="007425FC"/>
    <w:rsid w:val="00743DE7"/>
    <w:rsid w:val="0074509E"/>
    <w:rsid w:val="00745B9F"/>
    <w:rsid w:val="0074726F"/>
    <w:rsid w:val="007501E8"/>
    <w:rsid w:val="00752D4F"/>
    <w:rsid w:val="0075409F"/>
    <w:rsid w:val="0075525A"/>
    <w:rsid w:val="00755609"/>
    <w:rsid w:val="00755986"/>
    <w:rsid w:val="00755C86"/>
    <w:rsid w:val="00755E19"/>
    <w:rsid w:val="00756BFF"/>
    <w:rsid w:val="00756D77"/>
    <w:rsid w:val="00760041"/>
    <w:rsid w:val="007605C7"/>
    <w:rsid w:val="00760B08"/>
    <w:rsid w:val="00760EDA"/>
    <w:rsid w:val="007611EA"/>
    <w:rsid w:val="00761F4E"/>
    <w:rsid w:val="00762150"/>
    <w:rsid w:val="00762621"/>
    <w:rsid w:val="00763F28"/>
    <w:rsid w:val="00763F36"/>
    <w:rsid w:val="007648A0"/>
    <w:rsid w:val="00764D80"/>
    <w:rsid w:val="00764EA5"/>
    <w:rsid w:val="007666E7"/>
    <w:rsid w:val="0076677F"/>
    <w:rsid w:val="00766F4D"/>
    <w:rsid w:val="00770268"/>
    <w:rsid w:val="007706B9"/>
    <w:rsid w:val="007707ED"/>
    <w:rsid w:val="00771C3B"/>
    <w:rsid w:val="007726F9"/>
    <w:rsid w:val="00773B94"/>
    <w:rsid w:val="00773C65"/>
    <w:rsid w:val="00775937"/>
    <w:rsid w:val="00777046"/>
    <w:rsid w:val="007770DA"/>
    <w:rsid w:val="007772AC"/>
    <w:rsid w:val="007805B9"/>
    <w:rsid w:val="00780C3A"/>
    <w:rsid w:val="00781E36"/>
    <w:rsid w:val="007834A1"/>
    <w:rsid w:val="00786BC2"/>
    <w:rsid w:val="00787A92"/>
    <w:rsid w:val="00791EB4"/>
    <w:rsid w:val="007928F1"/>
    <w:rsid w:val="0079357D"/>
    <w:rsid w:val="00793589"/>
    <w:rsid w:val="007937CC"/>
    <w:rsid w:val="00793A31"/>
    <w:rsid w:val="0079485D"/>
    <w:rsid w:val="00794979"/>
    <w:rsid w:val="007956B7"/>
    <w:rsid w:val="00795F1A"/>
    <w:rsid w:val="00796EDE"/>
    <w:rsid w:val="00797297"/>
    <w:rsid w:val="007974B3"/>
    <w:rsid w:val="00797875"/>
    <w:rsid w:val="00797D93"/>
    <w:rsid w:val="007A076C"/>
    <w:rsid w:val="007A0CCF"/>
    <w:rsid w:val="007A2140"/>
    <w:rsid w:val="007A21B1"/>
    <w:rsid w:val="007A23E2"/>
    <w:rsid w:val="007A31A5"/>
    <w:rsid w:val="007A3BEF"/>
    <w:rsid w:val="007A411B"/>
    <w:rsid w:val="007A4455"/>
    <w:rsid w:val="007A45E6"/>
    <w:rsid w:val="007A4B28"/>
    <w:rsid w:val="007A4F6C"/>
    <w:rsid w:val="007A557B"/>
    <w:rsid w:val="007A57DD"/>
    <w:rsid w:val="007A5C2C"/>
    <w:rsid w:val="007A7678"/>
    <w:rsid w:val="007B0CD8"/>
    <w:rsid w:val="007B0DE0"/>
    <w:rsid w:val="007B0E03"/>
    <w:rsid w:val="007B21DE"/>
    <w:rsid w:val="007B2646"/>
    <w:rsid w:val="007B2BB9"/>
    <w:rsid w:val="007B375B"/>
    <w:rsid w:val="007B43E8"/>
    <w:rsid w:val="007B4740"/>
    <w:rsid w:val="007B502C"/>
    <w:rsid w:val="007B5F3B"/>
    <w:rsid w:val="007B6EC8"/>
    <w:rsid w:val="007B7029"/>
    <w:rsid w:val="007C02B0"/>
    <w:rsid w:val="007C05E5"/>
    <w:rsid w:val="007C063E"/>
    <w:rsid w:val="007C0E39"/>
    <w:rsid w:val="007C15D0"/>
    <w:rsid w:val="007C18F6"/>
    <w:rsid w:val="007C1901"/>
    <w:rsid w:val="007C1AF9"/>
    <w:rsid w:val="007C49C0"/>
    <w:rsid w:val="007C4BCF"/>
    <w:rsid w:val="007C55C1"/>
    <w:rsid w:val="007C5738"/>
    <w:rsid w:val="007C5772"/>
    <w:rsid w:val="007C5962"/>
    <w:rsid w:val="007C5AC3"/>
    <w:rsid w:val="007C5BD5"/>
    <w:rsid w:val="007C5C07"/>
    <w:rsid w:val="007C7233"/>
    <w:rsid w:val="007D0867"/>
    <w:rsid w:val="007D10EE"/>
    <w:rsid w:val="007D1193"/>
    <w:rsid w:val="007D1D72"/>
    <w:rsid w:val="007D21D5"/>
    <w:rsid w:val="007D2CD1"/>
    <w:rsid w:val="007D3E8D"/>
    <w:rsid w:val="007D5915"/>
    <w:rsid w:val="007D5B4F"/>
    <w:rsid w:val="007D5C30"/>
    <w:rsid w:val="007E0660"/>
    <w:rsid w:val="007E0A54"/>
    <w:rsid w:val="007E0AC0"/>
    <w:rsid w:val="007E1411"/>
    <w:rsid w:val="007E1882"/>
    <w:rsid w:val="007E1BB4"/>
    <w:rsid w:val="007E2077"/>
    <w:rsid w:val="007E2B11"/>
    <w:rsid w:val="007E3514"/>
    <w:rsid w:val="007E4207"/>
    <w:rsid w:val="007E4926"/>
    <w:rsid w:val="007E4AAA"/>
    <w:rsid w:val="007E4BD2"/>
    <w:rsid w:val="007E4C29"/>
    <w:rsid w:val="007E5718"/>
    <w:rsid w:val="007E5E44"/>
    <w:rsid w:val="007F0DDA"/>
    <w:rsid w:val="007F1645"/>
    <w:rsid w:val="007F1939"/>
    <w:rsid w:val="007F2B5A"/>
    <w:rsid w:val="007F365C"/>
    <w:rsid w:val="007F37F6"/>
    <w:rsid w:val="007F3A5D"/>
    <w:rsid w:val="007F419E"/>
    <w:rsid w:val="007F4313"/>
    <w:rsid w:val="007F471F"/>
    <w:rsid w:val="007F5066"/>
    <w:rsid w:val="007F621C"/>
    <w:rsid w:val="007F6312"/>
    <w:rsid w:val="007F7155"/>
    <w:rsid w:val="00800C28"/>
    <w:rsid w:val="0080245E"/>
    <w:rsid w:val="00802E10"/>
    <w:rsid w:val="00803480"/>
    <w:rsid w:val="0080359C"/>
    <w:rsid w:val="008037AE"/>
    <w:rsid w:val="008037F6"/>
    <w:rsid w:val="008043F4"/>
    <w:rsid w:val="00804779"/>
    <w:rsid w:val="00804BB4"/>
    <w:rsid w:val="00804D20"/>
    <w:rsid w:val="00805D9F"/>
    <w:rsid w:val="0080764C"/>
    <w:rsid w:val="00807A4D"/>
    <w:rsid w:val="00807F30"/>
    <w:rsid w:val="008103DC"/>
    <w:rsid w:val="00810721"/>
    <w:rsid w:val="0081119F"/>
    <w:rsid w:val="0081134D"/>
    <w:rsid w:val="00811EDA"/>
    <w:rsid w:val="00812403"/>
    <w:rsid w:val="008125FB"/>
    <w:rsid w:val="00812FD7"/>
    <w:rsid w:val="00814B54"/>
    <w:rsid w:val="00820623"/>
    <w:rsid w:val="00821747"/>
    <w:rsid w:val="008221E6"/>
    <w:rsid w:val="008229A3"/>
    <w:rsid w:val="00822A3C"/>
    <w:rsid w:val="00822DFB"/>
    <w:rsid w:val="00822F64"/>
    <w:rsid w:val="008234A1"/>
    <w:rsid w:val="008253A6"/>
    <w:rsid w:val="00825A6B"/>
    <w:rsid w:val="00825C50"/>
    <w:rsid w:val="00826577"/>
    <w:rsid w:val="00827439"/>
    <w:rsid w:val="00827AAC"/>
    <w:rsid w:val="00827C79"/>
    <w:rsid w:val="00827C9D"/>
    <w:rsid w:val="0083003F"/>
    <w:rsid w:val="00831077"/>
    <w:rsid w:val="00831A4A"/>
    <w:rsid w:val="00832134"/>
    <w:rsid w:val="0083219E"/>
    <w:rsid w:val="008324B3"/>
    <w:rsid w:val="00834904"/>
    <w:rsid w:val="0083497C"/>
    <w:rsid w:val="008352A6"/>
    <w:rsid w:val="00835B5B"/>
    <w:rsid w:val="00835CC2"/>
    <w:rsid w:val="008367AE"/>
    <w:rsid w:val="00836E50"/>
    <w:rsid w:val="0083761F"/>
    <w:rsid w:val="00840477"/>
    <w:rsid w:val="0084121D"/>
    <w:rsid w:val="00841456"/>
    <w:rsid w:val="008418E3"/>
    <w:rsid w:val="008419C1"/>
    <w:rsid w:val="00842D00"/>
    <w:rsid w:val="00843760"/>
    <w:rsid w:val="00843905"/>
    <w:rsid w:val="00844515"/>
    <w:rsid w:val="0084465A"/>
    <w:rsid w:val="00844DFF"/>
    <w:rsid w:val="00845D87"/>
    <w:rsid w:val="00846C3A"/>
    <w:rsid w:val="00847598"/>
    <w:rsid w:val="008477BF"/>
    <w:rsid w:val="008503DA"/>
    <w:rsid w:val="00850B68"/>
    <w:rsid w:val="00850E82"/>
    <w:rsid w:val="0085122D"/>
    <w:rsid w:val="008519E8"/>
    <w:rsid w:val="008525FF"/>
    <w:rsid w:val="00852C03"/>
    <w:rsid w:val="0085590C"/>
    <w:rsid w:val="008575EB"/>
    <w:rsid w:val="00860366"/>
    <w:rsid w:val="00862DDD"/>
    <w:rsid w:val="008630B6"/>
    <w:rsid w:val="0086312D"/>
    <w:rsid w:val="0086326D"/>
    <w:rsid w:val="00863CC1"/>
    <w:rsid w:val="0086540E"/>
    <w:rsid w:val="00865B01"/>
    <w:rsid w:val="008665F8"/>
    <w:rsid w:val="00866D7A"/>
    <w:rsid w:val="00866EE3"/>
    <w:rsid w:val="008671EE"/>
    <w:rsid w:val="00870BF3"/>
    <w:rsid w:val="00871F04"/>
    <w:rsid w:val="008728B1"/>
    <w:rsid w:val="008739A3"/>
    <w:rsid w:val="008746C1"/>
    <w:rsid w:val="00875A33"/>
    <w:rsid w:val="008763B6"/>
    <w:rsid w:val="00880224"/>
    <w:rsid w:val="00880795"/>
    <w:rsid w:val="0088244C"/>
    <w:rsid w:val="008828F7"/>
    <w:rsid w:val="00882EAC"/>
    <w:rsid w:val="00883367"/>
    <w:rsid w:val="00884C47"/>
    <w:rsid w:val="00885E6F"/>
    <w:rsid w:val="008861AC"/>
    <w:rsid w:val="008868E4"/>
    <w:rsid w:val="00886A60"/>
    <w:rsid w:val="0088759B"/>
    <w:rsid w:val="008909B4"/>
    <w:rsid w:val="008909EC"/>
    <w:rsid w:val="00891515"/>
    <w:rsid w:val="008922E8"/>
    <w:rsid w:val="00892F2F"/>
    <w:rsid w:val="00893916"/>
    <w:rsid w:val="0089442C"/>
    <w:rsid w:val="00895818"/>
    <w:rsid w:val="00897E85"/>
    <w:rsid w:val="008A2585"/>
    <w:rsid w:val="008A268D"/>
    <w:rsid w:val="008A2718"/>
    <w:rsid w:val="008A3398"/>
    <w:rsid w:val="008A39E5"/>
    <w:rsid w:val="008A4A38"/>
    <w:rsid w:val="008A4CF6"/>
    <w:rsid w:val="008A4E42"/>
    <w:rsid w:val="008A51AA"/>
    <w:rsid w:val="008A6A12"/>
    <w:rsid w:val="008A6AC9"/>
    <w:rsid w:val="008A771E"/>
    <w:rsid w:val="008B0DC6"/>
    <w:rsid w:val="008B2B9E"/>
    <w:rsid w:val="008B31F5"/>
    <w:rsid w:val="008B47B9"/>
    <w:rsid w:val="008B4C79"/>
    <w:rsid w:val="008B4D15"/>
    <w:rsid w:val="008B5299"/>
    <w:rsid w:val="008B5D2D"/>
    <w:rsid w:val="008B6361"/>
    <w:rsid w:val="008C0320"/>
    <w:rsid w:val="008C2A81"/>
    <w:rsid w:val="008C3863"/>
    <w:rsid w:val="008C3B6B"/>
    <w:rsid w:val="008C4BDC"/>
    <w:rsid w:val="008C50FF"/>
    <w:rsid w:val="008C5435"/>
    <w:rsid w:val="008C6BD1"/>
    <w:rsid w:val="008D041F"/>
    <w:rsid w:val="008D2DB5"/>
    <w:rsid w:val="008D3F10"/>
    <w:rsid w:val="008D611D"/>
    <w:rsid w:val="008D7680"/>
    <w:rsid w:val="008E1B6A"/>
    <w:rsid w:val="008E23AC"/>
    <w:rsid w:val="008E3054"/>
    <w:rsid w:val="008E32FF"/>
    <w:rsid w:val="008E377D"/>
    <w:rsid w:val="008E3A18"/>
    <w:rsid w:val="008E4EE6"/>
    <w:rsid w:val="008E5625"/>
    <w:rsid w:val="008E5C5B"/>
    <w:rsid w:val="008E6072"/>
    <w:rsid w:val="008E668E"/>
    <w:rsid w:val="008E6A37"/>
    <w:rsid w:val="008F0354"/>
    <w:rsid w:val="008F085A"/>
    <w:rsid w:val="008F1462"/>
    <w:rsid w:val="008F2413"/>
    <w:rsid w:val="008F248D"/>
    <w:rsid w:val="008F44C3"/>
    <w:rsid w:val="008F4B2C"/>
    <w:rsid w:val="008F4C08"/>
    <w:rsid w:val="008F544C"/>
    <w:rsid w:val="008F6851"/>
    <w:rsid w:val="008F7BC4"/>
    <w:rsid w:val="009003B8"/>
    <w:rsid w:val="00900E7A"/>
    <w:rsid w:val="00900EE4"/>
    <w:rsid w:val="0090155B"/>
    <w:rsid w:val="009015C9"/>
    <w:rsid w:val="009019F0"/>
    <w:rsid w:val="00903299"/>
    <w:rsid w:val="00903A6A"/>
    <w:rsid w:val="00903AF9"/>
    <w:rsid w:val="00903E11"/>
    <w:rsid w:val="00903EBE"/>
    <w:rsid w:val="009041DE"/>
    <w:rsid w:val="00904A77"/>
    <w:rsid w:val="00905D59"/>
    <w:rsid w:val="009062CA"/>
    <w:rsid w:val="00907631"/>
    <w:rsid w:val="00907776"/>
    <w:rsid w:val="00907865"/>
    <w:rsid w:val="00913401"/>
    <w:rsid w:val="00913567"/>
    <w:rsid w:val="009137B6"/>
    <w:rsid w:val="009142CB"/>
    <w:rsid w:val="0091495F"/>
    <w:rsid w:val="00914CE5"/>
    <w:rsid w:val="00915EBA"/>
    <w:rsid w:val="00917093"/>
    <w:rsid w:val="0092030E"/>
    <w:rsid w:val="00920AE6"/>
    <w:rsid w:val="00920BA2"/>
    <w:rsid w:val="009217B1"/>
    <w:rsid w:val="00921A42"/>
    <w:rsid w:val="00921F42"/>
    <w:rsid w:val="009223BB"/>
    <w:rsid w:val="00922491"/>
    <w:rsid w:val="00923BCF"/>
    <w:rsid w:val="009258C2"/>
    <w:rsid w:val="00925AEC"/>
    <w:rsid w:val="00926B8A"/>
    <w:rsid w:val="0092751A"/>
    <w:rsid w:val="00927C0C"/>
    <w:rsid w:val="009305C4"/>
    <w:rsid w:val="00931FAF"/>
    <w:rsid w:val="00932478"/>
    <w:rsid w:val="0093376E"/>
    <w:rsid w:val="00934440"/>
    <w:rsid w:val="009360F6"/>
    <w:rsid w:val="009371DC"/>
    <w:rsid w:val="0093759D"/>
    <w:rsid w:val="0093765D"/>
    <w:rsid w:val="00940239"/>
    <w:rsid w:val="00941D26"/>
    <w:rsid w:val="00942BD6"/>
    <w:rsid w:val="00942DED"/>
    <w:rsid w:val="00944404"/>
    <w:rsid w:val="009452D7"/>
    <w:rsid w:val="00945D12"/>
    <w:rsid w:val="00945FD1"/>
    <w:rsid w:val="00946CCC"/>
    <w:rsid w:val="009479AD"/>
    <w:rsid w:val="009503E5"/>
    <w:rsid w:val="00950F71"/>
    <w:rsid w:val="00952F2C"/>
    <w:rsid w:val="009532E3"/>
    <w:rsid w:val="00953615"/>
    <w:rsid w:val="00954302"/>
    <w:rsid w:val="00954A59"/>
    <w:rsid w:val="00954BAF"/>
    <w:rsid w:val="00955F48"/>
    <w:rsid w:val="009560B3"/>
    <w:rsid w:val="0095745E"/>
    <w:rsid w:val="00957CE0"/>
    <w:rsid w:val="0096002E"/>
    <w:rsid w:val="0096039E"/>
    <w:rsid w:val="00962CEF"/>
    <w:rsid w:val="00962E1C"/>
    <w:rsid w:val="00963766"/>
    <w:rsid w:val="00963CE1"/>
    <w:rsid w:val="00963FDF"/>
    <w:rsid w:val="00964C32"/>
    <w:rsid w:val="0096528F"/>
    <w:rsid w:val="009653F2"/>
    <w:rsid w:val="009661DF"/>
    <w:rsid w:val="009667BD"/>
    <w:rsid w:val="00967C2B"/>
    <w:rsid w:val="00967CE2"/>
    <w:rsid w:val="00970404"/>
    <w:rsid w:val="0097137C"/>
    <w:rsid w:val="00971DA3"/>
    <w:rsid w:val="00972161"/>
    <w:rsid w:val="0097261B"/>
    <w:rsid w:val="00974234"/>
    <w:rsid w:val="00974881"/>
    <w:rsid w:val="009751DC"/>
    <w:rsid w:val="00975501"/>
    <w:rsid w:val="0097601B"/>
    <w:rsid w:val="0097606C"/>
    <w:rsid w:val="009771D1"/>
    <w:rsid w:val="0097787D"/>
    <w:rsid w:val="00977A66"/>
    <w:rsid w:val="0098012D"/>
    <w:rsid w:val="00980845"/>
    <w:rsid w:val="00981BD9"/>
    <w:rsid w:val="0098225F"/>
    <w:rsid w:val="00982E98"/>
    <w:rsid w:val="009838B0"/>
    <w:rsid w:val="00983A3C"/>
    <w:rsid w:val="00983EFA"/>
    <w:rsid w:val="00984C15"/>
    <w:rsid w:val="009859B6"/>
    <w:rsid w:val="00987829"/>
    <w:rsid w:val="00987A6A"/>
    <w:rsid w:val="00987F7A"/>
    <w:rsid w:val="009908F6"/>
    <w:rsid w:val="00991276"/>
    <w:rsid w:val="009923E7"/>
    <w:rsid w:val="00992697"/>
    <w:rsid w:val="009926FF"/>
    <w:rsid w:val="00992D4E"/>
    <w:rsid w:val="009934BB"/>
    <w:rsid w:val="00994621"/>
    <w:rsid w:val="009947FF"/>
    <w:rsid w:val="0099544B"/>
    <w:rsid w:val="0099617D"/>
    <w:rsid w:val="009A07A6"/>
    <w:rsid w:val="009A0D56"/>
    <w:rsid w:val="009A31B9"/>
    <w:rsid w:val="009A4D4F"/>
    <w:rsid w:val="009A53D8"/>
    <w:rsid w:val="009A5800"/>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310F"/>
    <w:rsid w:val="009C6091"/>
    <w:rsid w:val="009C634F"/>
    <w:rsid w:val="009C6BB3"/>
    <w:rsid w:val="009D0219"/>
    <w:rsid w:val="009D0D55"/>
    <w:rsid w:val="009D2295"/>
    <w:rsid w:val="009D2511"/>
    <w:rsid w:val="009D372F"/>
    <w:rsid w:val="009D3E7C"/>
    <w:rsid w:val="009D55CA"/>
    <w:rsid w:val="009D5661"/>
    <w:rsid w:val="009D5EF0"/>
    <w:rsid w:val="009D6401"/>
    <w:rsid w:val="009D6B3D"/>
    <w:rsid w:val="009D6E99"/>
    <w:rsid w:val="009D7108"/>
    <w:rsid w:val="009E0711"/>
    <w:rsid w:val="009E085F"/>
    <w:rsid w:val="009E1917"/>
    <w:rsid w:val="009E1C55"/>
    <w:rsid w:val="009E3594"/>
    <w:rsid w:val="009E4E02"/>
    <w:rsid w:val="009E6B77"/>
    <w:rsid w:val="009E7724"/>
    <w:rsid w:val="009E7D1F"/>
    <w:rsid w:val="009F104E"/>
    <w:rsid w:val="009F1C8F"/>
    <w:rsid w:val="009F1D82"/>
    <w:rsid w:val="009F37AA"/>
    <w:rsid w:val="009F544C"/>
    <w:rsid w:val="009F5731"/>
    <w:rsid w:val="009F58FA"/>
    <w:rsid w:val="009F6047"/>
    <w:rsid w:val="009F6321"/>
    <w:rsid w:val="009F6378"/>
    <w:rsid w:val="009F7669"/>
    <w:rsid w:val="009F7F45"/>
    <w:rsid w:val="009F7FD5"/>
    <w:rsid w:val="00A005D4"/>
    <w:rsid w:val="00A0083C"/>
    <w:rsid w:val="00A01A90"/>
    <w:rsid w:val="00A01FBD"/>
    <w:rsid w:val="00A02370"/>
    <w:rsid w:val="00A04685"/>
    <w:rsid w:val="00A04C57"/>
    <w:rsid w:val="00A05A27"/>
    <w:rsid w:val="00A06340"/>
    <w:rsid w:val="00A0684F"/>
    <w:rsid w:val="00A06867"/>
    <w:rsid w:val="00A10148"/>
    <w:rsid w:val="00A113FD"/>
    <w:rsid w:val="00A11DDE"/>
    <w:rsid w:val="00A127A7"/>
    <w:rsid w:val="00A1293F"/>
    <w:rsid w:val="00A129F4"/>
    <w:rsid w:val="00A13192"/>
    <w:rsid w:val="00A136F4"/>
    <w:rsid w:val="00A1441F"/>
    <w:rsid w:val="00A15999"/>
    <w:rsid w:val="00A160D3"/>
    <w:rsid w:val="00A16DC9"/>
    <w:rsid w:val="00A17C1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94"/>
    <w:rsid w:val="00A33ECB"/>
    <w:rsid w:val="00A34514"/>
    <w:rsid w:val="00A34DE0"/>
    <w:rsid w:val="00A35355"/>
    <w:rsid w:val="00A35728"/>
    <w:rsid w:val="00A36DE5"/>
    <w:rsid w:val="00A36EE3"/>
    <w:rsid w:val="00A37435"/>
    <w:rsid w:val="00A37B7C"/>
    <w:rsid w:val="00A400AB"/>
    <w:rsid w:val="00A4173D"/>
    <w:rsid w:val="00A4190A"/>
    <w:rsid w:val="00A41A95"/>
    <w:rsid w:val="00A4248B"/>
    <w:rsid w:val="00A42792"/>
    <w:rsid w:val="00A427B6"/>
    <w:rsid w:val="00A4376E"/>
    <w:rsid w:val="00A4528E"/>
    <w:rsid w:val="00A4572B"/>
    <w:rsid w:val="00A46246"/>
    <w:rsid w:val="00A46349"/>
    <w:rsid w:val="00A46D5E"/>
    <w:rsid w:val="00A472FD"/>
    <w:rsid w:val="00A479D3"/>
    <w:rsid w:val="00A50847"/>
    <w:rsid w:val="00A50F69"/>
    <w:rsid w:val="00A512C7"/>
    <w:rsid w:val="00A52EBB"/>
    <w:rsid w:val="00A53426"/>
    <w:rsid w:val="00A54BFF"/>
    <w:rsid w:val="00A54C63"/>
    <w:rsid w:val="00A54FBB"/>
    <w:rsid w:val="00A55BB1"/>
    <w:rsid w:val="00A55D71"/>
    <w:rsid w:val="00A55FD6"/>
    <w:rsid w:val="00A5619C"/>
    <w:rsid w:val="00A564CD"/>
    <w:rsid w:val="00A564CE"/>
    <w:rsid w:val="00A5675F"/>
    <w:rsid w:val="00A573CD"/>
    <w:rsid w:val="00A5743D"/>
    <w:rsid w:val="00A57C1E"/>
    <w:rsid w:val="00A600B3"/>
    <w:rsid w:val="00A60D6F"/>
    <w:rsid w:val="00A61009"/>
    <w:rsid w:val="00A61762"/>
    <w:rsid w:val="00A61938"/>
    <w:rsid w:val="00A61CFD"/>
    <w:rsid w:val="00A62AE8"/>
    <w:rsid w:val="00A62B86"/>
    <w:rsid w:val="00A63C96"/>
    <w:rsid w:val="00A65805"/>
    <w:rsid w:val="00A66BEE"/>
    <w:rsid w:val="00A671C9"/>
    <w:rsid w:val="00A67DFD"/>
    <w:rsid w:val="00A74AA0"/>
    <w:rsid w:val="00A74F9F"/>
    <w:rsid w:val="00A750B3"/>
    <w:rsid w:val="00A75559"/>
    <w:rsid w:val="00A7623D"/>
    <w:rsid w:val="00A8161B"/>
    <w:rsid w:val="00A8217C"/>
    <w:rsid w:val="00A824A7"/>
    <w:rsid w:val="00A8323D"/>
    <w:rsid w:val="00A833EF"/>
    <w:rsid w:val="00A83644"/>
    <w:rsid w:val="00A83C07"/>
    <w:rsid w:val="00A83F40"/>
    <w:rsid w:val="00A84574"/>
    <w:rsid w:val="00A84945"/>
    <w:rsid w:val="00A85543"/>
    <w:rsid w:val="00A86EDD"/>
    <w:rsid w:val="00A86EF5"/>
    <w:rsid w:val="00A8728B"/>
    <w:rsid w:val="00A91682"/>
    <w:rsid w:val="00A92125"/>
    <w:rsid w:val="00A92B08"/>
    <w:rsid w:val="00A92E4A"/>
    <w:rsid w:val="00A93143"/>
    <w:rsid w:val="00A93F43"/>
    <w:rsid w:val="00A94348"/>
    <w:rsid w:val="00A958CA"/>
    <w:rsid w:val="00A9605D"/>
    <w:rsid w:val="00A966B6"/>
    <w:rsid w:val="00A96B46"/>
    <w:rsid w:val="00A97E47"/>
    <w:rsid w:val="00AA003B"/>
    <w:rsid w:val="00AA016B"/>
    <w:rsid w:val="00AA15DD"/>
    <w:rsid w:val="00AA1956"/>
    <w:rsid w:val="00AA1C09"/>
    <w:rsid w:val="00AA2F67"/>
    <w:rsid w:val="00AA3569"/>
    <w:rsid w:val="00AA506C"/>
    <w:rsid w:val="00AA5F4C"/>
    <w:rsid w:val="00AA615C"/>
    <w:rsid w:val="00AA6276"/>
    <w:rsid w:val="00AA6711"/>
    <w:rsid w:val="00AA7AA6"/>
    <w:rsid w:val="00AA7EAF"/>
    <w:rsid w:val="00AB0228"/>
    <w:rsid w:val="00AB166B"/>
    <w:rsid w:val="00AB2AEC"/>
    <w:rsid w:val="00AB2DC1"/>
    <w:rsid w:val="00AB3102"/>
    <w:rsid w:val="00AB3D9A"/>
    <w:rsid w:val="00AB41BB"/>
    <w:rsid w:val="00AB4824"/>
    <w:rsid w:val="00AB4B1D"/>
    <w:rsid w:val="00AB67A2"/>
    <w:rsid w:val="00AB6B5E"/>
    <w:rsid w:val="00AC0315"/>
    <w:rsid w:val="00AC047F"/>
    <w:rsid w:val="00AC0DB2"/>
    <w:rsid w:val="00AC201D"/>
    <w:rsid w:val="00AC2D10"/>
    <w:rsid w:val="00AC3934"/>
    <w:rsid w:val="00AC47E8"/>
    <w:rsid w:val="00AC50C8"/>
    <w:rsid w:val="00AC5581"/>
    <w:rsid w:val="00AC56AD"/>
    <w:rsid w:val="00AC61BE"/>
    <w:rsid w:val="00AC66E0"/>
    <w:rsid w:val="00AC7E8A"/>
    <w:rsid w:val="00AD0C8A"/>
    <w:rsid w:val="00AD0CB4"/>
    <w:rsid w:val="00AD1B03"/>
    <w:rsid w:val="00AD1FF2"/>
    <w:rsid w:val="00AD2A21"/>
    <w:rsid w:val="00AD3B43"/>
    <w:rsid w:val="00AD4FF2"/>
    <w:rsid w:val="00AD506C"/>
    <w:rsid w:val="00AD6BE5"/>
    <w:rsid w:val="00AD6D3A"/>
    <w:rsid w:val="00AD783E"/>
    <w:rsid w:val="00AE1393"/>
    <w:rsid w:val="00AE15F2"/>
    <w:rsid w:val="00AE2A0A"/>
    <w:rsid w:val="00AE3BC6"/>
    <w:rsid w:val="00AE3D94"/>
    <w:rsid w:val="00AE4D4F"/>
    <w:rsid w:val="00AE627C"/>
    <w:rsid w:val="00AE62B0"/>
    <w:rsid w:val="00AE68A2"/>
    <w:rsid w:val="00AF0029"/>
    <w:rsid w:val="00AF0354"/>
    <w:rsid w:val="00AF1236"/>
    <w:rsid w:val="00AF25D7"/>
    <w:rsid w:val="00AF3287"/>
    <w:rsid w:val="00AF3C29"/>
    <w:rsid w:val="00AF4401"/>
    <w:rsid w:val="00AF4463"/>
    <w:rsid w:val="00AF4B3E"/>
    <w:rsid w:val="00AF502B"/>
    <w:rsid w:val="00AF53CB"/>
    <w:rsid w:val="00AF5FA6"/>
    <w:rsid w:val="00AF65C5"/>
    <w:rsid w:val="00AF65CF"/>
    <w:rsid w:val="00B0217B"/>
    <w:rsid w:val="00B025EC"/>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2A5"/>
    <w:rsid w:val="00B258F3"/>
    <w:rsid w:val="00B25E0D"/>
    <w:rsid w:val="00B2659C"/>
    <w:rsid w:val="00B26B13"/>
    <w:rsid w:val="00B26BD2"/>
    <w:rsid w:val="00B26FD7"/>
    <w:rsid w:val="00B270AB"/>
    <w:rsid w:val="00B2725B"/>
    <w:rsid w:val="00B306FC"/>
    <w:rsid w:val="00B309D2"/>
    <w:rsid w:val="00B30E4F"/>
    <w:rsid w:val="00B30E6D"/>
    <w:rsid w:val="00B3124F"/>
    <w:rsid w:val="00B33294"/>
    <w:rsid w:val="00B33657"/>
    <w:rsid w:val="00B34885"/>
    <w:rsid w:val="00B34D68"/>
    <w:rsid w:val="00B36117"/>
    <w:rsid w:val="00B362E3"/>
    <w:rsid w:val="00B37C73"/>
    <w:rsid w:val="00B4009B"/>
    <w:rsid w:val="00B400A1"/>
    <w:rsid w:val="00B403C8"/>
    <w:rsid w:val="00B40A2B"/>
    <w:rsid w:val="00B420CB"/>
    <w:rsid w:val="00B4401C"/>
    <w:rsid w:val="00B44802"/>
    <w:rsid w:val="00B44A96"/>
    <w:rsid w:val="00B450E9"/>
    <w:rsid w:val="00B455D1"/>
    <w:rsid w:val="00B46135"/>
    <w:rsid w:val="00B46B9C"/>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48C"/>
    <w:rsid w:val="00B60A43"/>
    <w:rsid w:val="00B60D27"/>
    <w:rsid w:val="00B60DE9"/>
    <w:rsid w:val="00B619E4"/>
    <w:rsid w:val="00B61CD3"/>
    <w:rsid w:val="00B61D0B"/>
    <w:rsid w:val="00B6238A"/>
    <w:rsid w:val="00B632B4"/>
    <w:rsid w:val="00B6351C"/>
    <w:rsid w:val="00B6439A"/>
    <w:rsid w:val="00B6443B"/>
    <w:rsid w:val="00B6517B"/>
    <w:rsid w:val="00B658A2"/>
    <w:rsid w:val="00B65E71"/>
    <w:rsid w:val="00B66C26"/>
    <w:rsid w:val="00B66D23"/>
    <w:rsid w:val="00B67829"/>
    <w:rsid w:val="00B71FB3"/>
    <w:rsid w:val="00B73492"/>
    <w:rsid w:val="00B7512A"/>
    <w:rsid w:val="00B76548"/>
    <w:rsid w:val="00B7681D"/>
    <w:rsid w:val="00B76BED"/>
    <w:rsid w:val="00B806E6"/>
    <w:rsid w:val="00B82DC1"/>
    <w:rsid w:val="00B835D5"/>
    <w:rsid w:val="00B84028"/>
    <w:rsid w:val="00B84307"/>
    <w:rsid w:val="00B8430D"/>
    <w:rsid w:val="00B85661"/>
    <w:rsid w:val="00B85C8A"/>
    <w:rsid w:val="00B86F5C"/>
    <w:rsid w:val="00B86FBD"/>
    <w:rsid w:val="00B87E6E"/>
    <w:rsid w:val="00B90A59"/>
    <w:rsid w:val="00B90C16"/>
    <w:rsid w:val="00B91B86"/>
    <w:rsid w:val="00B91D95"/>
    <w:rsid w:val="00B927CA"/>
    <w:rsid w:val="00B928AE"/>
    <w:rsid w:val="00B93CDA"/>
    <w:rsid w:val="00B942E9"/>
    <w:rsid w:val="00B9433A"/>
    <w:rsid w:val="00B94883"/>
    <w:rsid w:val="00B948EE"/>
    <w:rsid w:val="00B94BF3"/>
    <w:rsid w:val="00B94F90"/>
    <w:rsid w:val="00B95DC5"/>
    <w:rsid w:val="00B96E28"/>
    <w:rsid w:val="00B97D26"/>
    <w:rsid w:val="00B97E34"/>
    <w:rsid w:val="00B97FEF"/>
    <w:rsid w:val="00BA03CC"/>
    <w:rsid w:val="00BA1354"/>
    <w:rsid w:val="00BA24F8"/>
    <w:rsid w:val="00BA31AA"/>
    <w:rsid w:val="00BA45D8"/>
    <w:rsid w:val="00BA5828"/>
    <w:rsid w:val="00BA64B3"/>
    <w:rsid w:val="00BA72FD"/>
    <w:rsid w:val="00BA754A"/>
    <w:rsid w:val="00BA7820"/>
    <w:rsid w:val="00BA794C"/>
    <w:rsid w:val="00BB09FB"/>
    <w:rsid w:val="00BB1973"/>
    <w:rsid w:val="00BB238D"/>
    <w:rsid w:val="00BB37CC"/>
    <w:rsid w:val="00BB48C4"/>
    <w:rsid w:val="00BB6907"/>
    <w:rsid w:val="00BB75AE"/>
    <w:rsid w:val="00BB7A20"/>
    <w:rsid w:val="00BC15B1"/>
    <w:rsid w:val="00BC1681"/>
    <w:rsid w:val="00BC3C06"/>
    <w:rsid w:val="00BC4E8B"/>
    <w:rsid w:val="00BC528C"/>
    <w:rsid w:val="00BC538A"/>
    <w:rsid w:val="00BC5622"/>
    <w:rsid w:val="00BC6060"/>
    <w:rsid w:val="00BC65CC"/>
    <w:rsid w:val="00BC6A9F"/>
    <w:rsid w:val="00BC7897"/>
    <w:rsid w:val="00BD06D7"/>
    <w:rsid w:val="00BD0F35"/>
    <w:rsid w:val="00BD25C6"/>
    <w:rsid w:val="00BD45A4"/>
    <w:rsid w:val="00BD4692"/>
    <w:rsid w:val="00BD4A5F"/>
    <w:rsid w:val="00BD59AA"/>
    <w:rsid w:val="00BD65E6"/>
    <w:rsid w:val="00BD6AF7"/>
    <w:rsid w:val="00BD73AA"/>
    <w:rsid w:val="00BE0044"/>
    <w:rsid w:val="00BE02A2"/>
    <w:rsid w:val="00BE19EF"/>
    <w:rsid w:val="00BE425B"/>
    <w:rsid w:val="00BE51BB"/>
    <w:rsid w:val="00BE7595"/>
    <w:rsid w:val="00BE77D3"/>
    <w:rsid w:val="00BF0138"/>
    <w:rsid w:val="00BF114B"/>
    <w:rsid w:val="00BF1620"/>
    <w:rsid w:val="00BF1AC3"/>
    <w:rsid w:val="00BF2B6E"/>
    <w:rsid w:val="00BF3494"/>
    <w:rsid w:val="00BF373A"/>
    <w:rsid w:val="00BF409D"/>
    <w:rsid w:val="00BF5B3D"/>
    <w:rsid w:val="00BF62D2"/>
    <w:rsid w:val="00BF6D9E"/>
    <w:rsid w:val="00BF71BB"/>
    <w:rsid w:val="00BF76F7"/>
    <w:rsid w:val="00BF7C9F"/>
    <w:rsid w:val="00C00012"/>
    <w:rsid w:val="00C000A5"/>
    <w:rsid w:val="00C006B4"/>
    <w:rsid w:val="00C00938"/>
    <w:rsid w:val="00C00E2A"/>
    <w:rsid w:val="00C016FA"/>
    <w:rsid w:val="00C02140"/>
    <w:rsid w:val="00C025B9"/>
    <w:rsid w:val="00C029EC"/>
    <w:rsid w:val="00C044B4"/>
    <w:rsid w:val="00C04F1C"/>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61A2"/>
    <w:rsid w:val="00C172A6"/>
    <w:rsid w:val="00C17750"/>
    <w:rsid w:val="00C2035F"/>
    <w:rsid w:val="00C2094B"/>
    <w:rsid w:val="00C20DC5"/>
    <w:rsid w:val="00C228C1"/>
    <w:rsid w:val="00C2294E"/>
    <w:rsid w:val="00C22A5B"/>
    <w:rsid w:val="00C23412"/>
    <w:rsid w:val="00C23DB8"/>
    <w:rsid w:val="00C24342"/>
    <w:rsid w:val="00C264C7"/>
    <w:rsid w:val="00C26722"/>
    <w:rsid w:val="00C2682A"/>
    <w:rsid w:val="00C271C4"/>
    <w:rsid w:val="00C274F3"/>
    <w:rsid w:val="00C30A54"/>
    <w:rsid w:val="00C316F7"/>
    <w:rsid w:val="00C31D4D"/>
    <w:rsid w:val="00C31DF0"/>
    <w:rsid w:val="00C33916"/>
    <w:rsid w:val="00C33BCF"/>
    <w:rsid w:val="00C353A0"/>
    <w:rsid w:val="00C36838"/>
    <w:rsid w:val="00C368D7"/>
    <w:rsid w:val="00C36FD1"/>
    <w:rsid w:val="00C371A5"/>
    <w:rsid w:val="00C400B0"/>
    <w:rsid w:val="00C40927"/>
    <w:rsid w:val="00C413FC"/>
    <w:rsid w:val="00C42424"/>
    <w:rsid w:val="00C439EE"/>
    <w:rsid w:val="00C43D33"/>
    <w:rsid w:val="00C44407"/>
    <w:rsid w:val="00C445B7"/>
    <w:rsid w:val="00C44D18"/>
    <w:rsid w:val="00C44F74"/>
    <w:rsid w:val="00C456E8"/>
    <w:rsid w:val="00C46518"/>
    <w:rsid w:val="00C46630"/>
    <w:rsid w:val="00C47A2F"/>
    <w:rsid w:val="00C50D18"/>
    <w:rsid w:val="00C51179"/>
    <w:rsid w:val="00C5282C"/>
    <w:rsid w:val="00C52FBE"/>
    <w:rsid w:val="00C5355E"/>
    <w:rsid w:val="00C535E2"/>
    <w:rsid w:val="00C53FC1"/>
    <w:rsid w:val="00C54034"/>
    <w:rsid w:val="00C551D2"/>
    <w:rsid w:val="00C56438"/>
    <w:rsid w:val="00C56F4F"/>
    <w:rsid w:val="00C570B3"/>
    <w:rsid w:val="00C57114"/>
    <w:rsid w:val="00C6009F"/>
    <w:rsid w:val="00C60417"/>
    <w:rsid w:val="00C6046F"/>
    <w:rsid w:val="00C60EC2"/>
    <w:rsid w:val="00C6336A"/>
    <w:rsid w:val="00C638C2"/>
    <w:rsid w:val="00C651D4"/>
    <w:rsid w:val="00C6669E"/>
    <w:rsid w:val="00C672B0"/>
    <w:rsid w:val="00C67306"/>
    <w:rsid w:val="00C67ADE"/>
    <w:rsid w:val="00C70451"/>
    <w:rsid w:val="00C72809"/>
    <w:rsid w:val="00C72976"/>
    <w:rsid w:val="00C729C7"/>
    <w:rsid w:val="00C75BED"/>
    <w:rsid w:val="00C75F5F"/>
    <w:rsid w:val="00C777AD"/>
    <w:rsid w:val="00C80C53"/>
    <w:rsid w:val="00C81195"/>
    <w:rsid w:val="00C81798"/>
    <w:rsid w:val="00C85387"/>
    <w:rsid w:val="00C85E52"/>
    <w:rsid w:val="00C86471"/>
    <w:rsid w:val="00C8677B"/>
    <w:rsid w:val="00C86F96"/>
    <w:rsid w:val="00C8716C"/>
    <w:rsid w:val="00C909C6"/>
    <w:rsid w:val="00C923B7"/>
    <w:rsid w:val="00C94D4C"/>
    <w:rsid w:val="00C96C1E"/>
    <w:rsid w:val="00C96CA4"/>
    <w:rsid w:val="00CA012C"/>
    <w:rsid w:val="00CA0AA6"/>
    <w:rsid w:val="00CA2897"/>
    <w:rsid w:val="00CA3573"/>
    <w:rsid w:val="00CA44F3"/>
    <w:rsid w:val="00CA582C"/>
    <w:rsid w:val="00CA6077"/>
    <w:rsid w:val="00CA715B"/>
    <w:rsid w:val="00CA7988"/>
    <w:rsid w:val="00CA7BA2"/>
    <w:rsid w:val="00CB0B78"/>
    <w:rsid w:val="00CB12A5"/>
    <w:rsid w:val="00CB17FA"/>
    <w:rsid w:val="00CB1C81"/>
    <w:rsid w:val="00CB23D8"/>
    <w:rsid w:val="00CB243F"/>
    <w:rsid w:val="00CB2ED9"/>
    <w:rsid w:val="00CB328C"/>
    <w:rsid w:val="00CB36A5"/>
    <w:rsid w:val="00CB56B4"/>
    <w:rsid w:val="00CB7286"/>
    <w:rsid w:val="00CB752E"/>
    <w:rsid w:val="00CB7947"/>
    <w:rsid w:val="00CC1783"/>
    <w:rsid w:val="00CC3B46"/>
    <w:rsid w:val="00CC3D8B"/>
    <w:rsid w:val="00CC4B85"/>
    <w:rsid w:val="00CC4E27"/>
    <w:rsid w:val="00CC570C"/>
    <w:rsid w:val="00CC59BB"/>
    <w:rsid w:val="00CC62B6"/>
    <w:rsid w:val="00CC76AA"/>
    <w:rsid w:val="00CC7CD2"/>
    <w:rsid w:val="00CD05CF"/>
    <w:rsid w:val="00CD1FAE"/>
    <w:rsid w:val="00CD232F"/>
    <w:rsid w:val="00CD2439"/>
    <w:rsid w:val="00CD279E"/>
    <w:rsid w:val="00CD2F92"/>
    <w:rsid w:val="00CD4E23"/>
    <w:rsid w:val="00CD4EB0"/>
    <w:rsid w:val="00CD512D"/>
    <w:rsid w:val="00CD5831"/>
    <w:rsid w:val="00CD6F6E"/>
    <w:rsid w:val="00CD7154"/>
    <w:rsid w:val="00CE1420"/>
    <w:rsid w:val="00CE157F"/>
    <w:rsid w:val="00CE1966"/>
    <w:rsid w:val="00CE1ED4"/>
    <w:rsid w:val="00CE2216"/>
    <w:rsid w:val="00CE3014"/>
    <w:rsid w:val="00CE30E5"/>
    <w:rsid w:val="00CE438D"/>
    <w:rsid w:val="00CE6FC6"/>
    <w:rsid w:val="00CE75E1"/>
    <w:rsid w:val="00CF2056"/>
    <w:rsid w:val="00CF4471"/>
    <w:rsid w:val="00CF51C0"/>
    <w:rsid w:val="00CF56F2"/>
    <w:rsid w:val="00CF5B2A"/>
    <w:rsid w:val="00CF5F57"/>
    <w:rsid w:val="00CF64A7"/>
    <w:rsid w:val="00CF6730"/>
    <w:rsid w:val="00CF70E5"/>
    <w:rsid w:val="00CF7CEC"/>
    <w:rsid w:val="00D00B0F"/>
    <w:rsid w:val="00D01602"/>
    <w:rsid w:val="00D01BF4"/>
    <w:rsid w:val="00D01D05"/>
    <w:rsid w:val="00D025CE"/>
    <w:rsid w:val="00D0272C"/>
    <w:rsid w:val="00D045CE"/>
    <w:rsid w:val="00D05082"/>
    <w:rsid w:val="00D05A46"/>
    <w:rsid w:val="00D06163"/>
    <w:rsid w:val="00D06937"/>
    <w:rsid w:val="00D07AFD"/>
    <w:rsid w:val="00D11749"/>
    <w:rsid w:val="00D117B4"/>
    <w:rsid w:val="00D12A7D"/>
    <w:rsid w:val="00D13AB0"/>
    <w:rsid w:val="00D1519E"/>
    <w:rsid w:val="00D152B7"/>
    <w:rsid w:val="00D16013"/>
    <w:rsid w:val="00D16105"/>
    <w:rsid w:val="00D16EDC"/>
    <w:rsid w:val="00D17FDE"/>
    <w:rsid w:val="00D201CB"/>
    <w:rsid w:val="00D207E2"/>
    <w:rsid w:val="00D223B8"/>
    <w:rsid w:val="00D226A1"/>
    <w:rsid w:val="00D22786"/>
    <w:rsid w:val="00D228B4"/>
    <w:rsid w:val="00D22F2F"/>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B38"/>
    <w:rsid w:val="00D42B74"/>
    <w:rsid w:val="00D42D5E"/>
    <w:rsid w:val="00D432C6"/>
    <w:rsid w:val="00D43F14"/>
    <w:rsid w:val="00D444E8"/>
    <w:rsid w:val="00D449EB"/>
    <w:rsid w:val="00D44C18"/>
    <w:rsid w:val="00D4556D"/>
    <w:rsid w:val="00D47F37"/>
    <w:rsid w:val="00D50226"/>
    <w:rsid w:val="00D503B3"/>
    <w:rsid w:val="00D511C6"/>
    <w:rsid w:val="00D5121D"/>
    <w:rsid w:val="00D516AC"/>
    <w:rsid w:val="00D521BB"/>
    <w:rsid w:val="00D52875"/>
    <w:rsid w:val="00D53941"/>
    <w:rsid w:val="00D54050"/>
    <w:rsid w:val="00D56AC0"/>
    <w:rsid w:val="00D57EAA"/>
    <w:rsid w:val="00D60224"/>
    <w:rsid w:val="00D6081B"/>
    <w:rsid w:val="00D60960"/>
    <w:rsid w:val="00D6240A"/>
    <w:rsid w:val="00D62E29"/>
    <w:rsid w:val="00D62FD0"/>
    <w:rsid w:val="00D63093"/>
    <w:rsid w:val="00D63599"/>
    <w:rsid w:val="00D63BB2"/>
    <w:rsid w:val="00D63EBD"/>
    <w:rsid w:val="00D66233"/>
    <w:rsid w:val="00D669AC"/>
    <w:rsid w:val="00D67101"/>
    <w:rsid w:val="00D6778F"/>
    <w:rsid w:val="00D71B45"/>
    <w:rsid w:val="00D71F8A"/>
    <w:rsid w:val="00D75603"/>
    <w:rsid w:val="00D75FEE"/>
    <w:rsid w:val="00D76933"/>
    <w:rsid w:val="00D76D88"/>
    <w:rsid w:val="00D77CC9"/>
    <w:rsid w:val="00D81004"/>
    <w:rsid w:val="00D81303"/>
    <w:rsid w:val="00D83D4B"/>
    <w:rsid w:val="00D871C6"/>
    <w:rsid w:val="00D87557"/>
    <w:rsid w:val="00D91010"/>
    <w:rsid w:val="00D9143D"/>
    <w:rsid w:val="00D920D1"/>
    <w:rsid w:val="00D92FC1"/>
    <w:rsid w:val="00D9439D"/>
    <w:rsid w:val="00D9540B"/>
    <w:rsid w:val="00D9662E"/>
    <w:rsid w:val="00DA0A9D"/>
    <w:rsid w:val="00DA0FA7"/>
    <w:rsid w:val="00DA12B0"/>
    <w:rsid w:val="00DA2BA0"/>
    <w:rsid w:val="00DA39AD"/>
    <w:rsid w:val="00DA3D1F"/>
    <w:rsid w:val="00DA50F9"/>
    <w:rsid w:val="00DA5B13"/>
    <w:rsid w:val="00DA6917"/>
    <w:rsid w:val="00DA6926"/>
    <w:rsid w:val="00DB0965"/>
    <w:rsid w:val="00DB0E47"/>
    <w:rsid w:val="00DB2BDD"/>
    <w:rsid w:val="00DB4121"/>
    <w:rsid w:val="00DB4303"/>
    <w:rsid w:val="00DB46C3"/>
    <w:rsid w:val="00DB5742"/>
    <w:rsid w:val="00DB5EDF"/>
    <w:rsid w:val="00DB6C46"/>
    <w:rsid w:val="00DB72B8"/>
    <w:rsid w:val="00DC0A6B"/>
    <w:rsid w:val="00DC1235"/>
    <w:rsid w:val="00DC1584"/>
    <w:rsid w:val="00DC16AF"/>
    <w:rsid w:val="00DC2A9A"/>
    <w:rsid w:val="00DC2E2E"/>
    <w:rsid w:val="00DC4D68"/>
    <w:rsid w:val="00DC6463"/>
    <w:rsid w:val="00DC7271"/>
    <w:rsid w:val="00DC73F4"/>
    <w:rsid w:val="00DC7822"/>
    <w:rsid w:val="00DC7AF1"/>
    <w:rsid w:val="00DD1642"/>
    <w:rsid w:val="00DD2CDA"/>
    <w:rsid w:val="00DD2D92"/>
    <w:rsid w:val="00DD3026"/>
    <w:rsid w:val="00DD33DC"/>
    <w:rsid w:val="00DD3BB0"/>
    <w:rsid w:val="00DD6126"/>
    <w:rsid w:val="00DD61F5"/>
    <w:rsid w:val="00DD6205"/>
    <w:rsid w:val="00DD7418"/>
    <w:rsid w:val="00DE64A6"/>
    <w:rsid w:val="00DE66EB"/>
    <w:rsid w:val="00DE7035"/>
    <w:rsid w:val="00DE7840"/>
    <w:rsid w:val="00DF12E3"/>
    <w:rsid w:val="00DF25C7"/>
    <w:rsid w:val="00DF2A20"/>
    <w:rsid w:val="00DF2CF4"/>
    <w:rsid w:val="00DF3F1D"/>
    <w:rsid w:val="00DF5689"/>
    <w:rsid w:val="00DF595C"/>
    <w:rsid w:val="00DF59FF"/>
    <w:rsid w:val="00DF7EA7"/>
    <w:rsid w:val="00E00E47"/>
    <w:rsid w:val="00E01921"/>
    <w:rsid w:val="00E019CB"/>
    <w:rsid w:val="00E02209"/>
    <w:rsid w:val="00E04548"/>
    <w:rsid w:val="00E0484E"/>
    <w:rsid w:val="00E063F8"/>
    <w:rsid w:val="00E11306"/>
    <w:rsid w:val="00E114D6"/>
    <w:rsid w:val="00E1166E"/>
    <w:rsid w:val="00E11DBD"/>
    <w:rsid w:val="00E13211"/>
    <w:rsid w:val="00E15AD2"/>
    <w:rsid w:val="00E16EC0"/>
    <w:rsid w:val="00E16FB5"/>
    <w:rsid w:val="00E179D6"/>
    <w:rsid w:val="00E21407"/>
    <w:rsid w:val="00E22668"/>
    <w:rsid w:val="00E227D3"/>
    <w:rsid w:val="00E22BFF"/>
    <w:rsid w:val="00E22CB0"/>
    <w:rsid w:val="00E23798"/>
    <w:rsid w:val="00E24CDC"/>
    <w:rsid w:val="00E2585D"/>
    <w:rsid w:val="00E25DBD"/>
    <w:rsid w:val="00E25FA2"/>
    <w:rsid w:val="00E2723D"/>
    <w:rsid w:val="00E27C77"/>
    <w:rsid w:val="00E3179E"/>
    <w:rsid w:val="00E32AC9"/>
    <w:rsid w:val="00E354DA"/>
    <w:rsid w:val="00E354F5"/>
    <w:rsid w:val="00E35C86"/>
    <w:rsid w:val="00E3687E"/>
    <w:rsid w:val="00E36EA5"/>
    <w:rsid w:val="00E37483"/>
    <w:rsid w:val="00E377EA"/>
    <w:rsid w:val="00E40974"/>
    <w:rsid w:val="00E40AAB"/>
    <w:rsid w:val="00E41205"/>
    <w:rsid w:val="00E41F32"/>
    <w:rsid w:val="00E42608"/>
    <w:rsid w:val="00E43387"/>
    <w:rsid w:val="00E43536"/>
    <w:rsid w:val="00E43DA3"/>
    <w:rsid w:val="00E44B80"/>
    <w:rsid w:val="00E45938"/>
    <w:rsid w:val="00E47430"/>
    <w:rsid w:val="00E474BD"/>
    <w:rsid w:val="00E507AE"/>
    <w:rsid w:val="00E50FB7"/>
    <w:rsid w:val="00E51200"/>
    <w:rsid w:val="00E5199F"/>
    <w:rsid w:val="00E526DF"/>
    <w:rsid w:val="00E53C15"/>
    <w:rsid w:val="00E54EE6"/>
    <w:rsid w:val="00E56715"/>
    <w:rsid w:val="00E56C2C"/>
    <w:rsid w:val="00E57F8E"/>
    <w:rsid w:val="00E611C8"/>
    <w:rsid w:val="00E619AB"/>
    <w:rsid w:val="00E6344A"/>
    <w:rsid w:val="00E64E69"/>
    <w:rsid w:val="00E64FB7"/>
    <w:rsid w:val="00E6669D"/>
    <w:rsid w:val="00E669A1"/>
    <w:rsid w:val="00E676E2"/>
    <w:rsid w:val="00E679BA"/>
    <w:rsid w:val="00E70243"/>
    <w:rsid w:val="00E703F7"/>
    <w:rsid w:val="00E70E2E"/>
    <w:rsid w:val="00E72166"/>
    <w:rsid w:val="00E72CC6"/>
    <w:rsid w:val="00E73D44"/>
    <w:rsid w:val="00E7494A"/>
    <w:rsid w:val="00E74BE2"/>
    <w:rsid w:val="00E74C66"/>
    <w:rsid w:val="00E75933"/>
    <w:rsid w:val="00E75C0B"/>
    <w:rsid w:val="00E77A1B"/>
    <w:rsid w:val="00E808BE"/>
    <w:rsid w:val="00E81BA5"/>
    <w:rsid w:val="00E81E36"/>
    <w:rsid w:val="00E81E40"/>
    <w:rsid w:val="00E8274D"/>
    <w:rsid w:val="00E82CF9"/>
    <w:rsid w:val="00E82ECE"/>
    <w:rsid w:val="00E858E6"/>
    <w:rsid w:val="00E8713B"/>
    <w:rsid w:val="00E87E67"/>
    <w:rsid w:val="00E90774"/>
    <w:rsid w:val="00E90C61"/>
    <w:rsid w:val="00E91CB2"/>
    <w:rsid w:val="00E92A82"/>
    <w:rsid w:val="00E92AA8"/>
    <w:rsid w:val="00E9344E"/>
    <w:rsid w:val="00E93E39"/>
    <w:rsid w:val="00E94391"/>
    <w:rsid w:val="00E943FF"/>
    <w:rsid w:val="00E97D0D"/>
    <w:rsid w:val="00E97E2B"/>
    <w:rsid w:val="00EA08CA"/>
    <w:rsid w:val="00EA0C0C"/>
    <w:rsid w:val="00EA2477"/>
    <w:rsid w:val="00EA2AEA"/>
    <w:rsid w:val="00EA332B"/>
    <w:rsid w:val="00EA3D36"/>
    <w:rsid w:val="00EA40AA"/>
    <w:rsid w:val="00EA57E2"/>
    <w:rsid w:val="00EA7186"/>
    <w:rsid w:val="00EB018B"/>
    <w:rsid w:val="00EB06A9"/>
    <w:rsid w:val="00EB0D24"/>
    <w:rsid w:val="00EB1003"/>
    <w:rsid w:val="00EB167E"/>
    <w:rsid w:val="00EB24ED"/>
    <w:rsid w:val="00EB2A00"/>
    <w:rsid w:val="00EB309B"/>
    <w:rsid w:val="00EB3205"/>
    <w:rsid w:val="00EB3AA2"/>
    <w:rsid w:val="00EB4763"/>
    <w:rsid w:val="00EB5AD7"/>
    <w:rsid w:val="00EB672B"/>
    <w:rsid w:val="00EB6CB7"/>
    <w:rsid w:val="00EB7F2A"/>
    <w:rsid w:val="00EC078B"/>
    <w:rsid w:val="00EC07A0"/>
    <w:rsid w:val="00EC08E4"/>
    <w:rsid w:val="00EC28FD"/>
    <w:rsid w:val="00EC3086"/>
    <w:rsid w:val="00EC3CB4"/>
    <w:rsid w:val="00EC443E"/>
    <w:rsid w:val="00EC4D83"/>
    <w:rsid w:val="00EC4EEE"/>
    <w:rsid w:val="00EC634F"/>
    <w:rsid w:val="00EC6848"/>
    <w:rsid w:val="00EC6C6E"/>
    <w:rsid w:val="00EC6ED4"/>
    <w:rsid w:val="00EC7B97"/>
    <w:rsid w:val="00ED049C"/>
    <w:rsid w:val="00ED07B7"/>
    <w:rsid w:val="00ED0D0E"/>
    <w:rsid w:val="00ED19D7"/>
    <w:rsid w:val="00ED2167"/>
    <w:rsid w:val="00ED351E"/>
    <w:rsid w:val="00ED4B27"/>
    <w:rsid w:val="00ED543C"/>
    <w:rsid w:val="00ED6BA4"/>
    <w:rsid w:val="00ED7DA7"/>
    <w:rsid w:val="00EE0598"/>
    <w:rsid w:val="00EE0982"/>
    <w:rsid w:val="00EE2F4B"/>
    <w:rsid w:val="00EE311C"/>
    <w:rsid w:val="00EE4C0A"/>
    <w:rsid w:val="00EE56FF"/>
    <w:rsid w:val="00EE5886"/>
    <w:rsid w:val="00EE5FBF"/>
    <w:rsid w:val="00EE6472"/>
    <w:rsid w:val="00EE6B4C"/>
    <w:rsid w:val="00EE76F2"/>
    <w:rsid w:val="00EF0769"/>
    <w:rsid w:val="00EF0D7C"/>
    <w:rsid w:val="00EF1C9E"/>
    <w:rsid w:val="00EF1E63"/>
    <w:rsid w:val="00EF314C"/>
    <w:rsid w:val="00EF383B"/>
    <w:rsid w:val="00EF40E2"/>
    <w:rsid w:val="00EF5446"/>
    <w:rsid w:val="00EF61C1"/>
    <w:rsid w:val="00EF6E68"/>
    <w:rsid w:val="00EF76DB"/>
    <w:rsid w:val="00F005FD"/>
    <w:rsid w:val="00F016BE"/>
    <w:rsid w:val="00F02C04"/>
    <w:rsid w:val="00F033C6"/>
    <w:rsid w:val="00F03AF1"/>
    <w:rsid w:val="00F03D42"/>
    <w:rsid w:val="00F04BCD"/>
    <w:rsid w:val="00F05A8C"/>
    <w:rsid w:val="00F06211"/>
    <w:rsid w:val="00F107EF"/>
    <w:rsid w:val="00F10A54"/>
    <w:rsid w:val="00F123D0"/>
    <w:rsid w:val="00F13200"/>
    <w:rsid w:val="00F13411"/>
    <w:rsid w:val="00F136FD"/>
    <w:rsid w:val="00F143BA"/>
    <w:rsid w:val="00F14D98"/>
    <w:rsid w:val="00F15101"/>
    <w:rsid w:val="00F2081B"/>
    <w:rsid w:val="00F20A43"/>
    <w:rsid w:val="00F20C51"/>
    <w:rsid w:val="00F21049"/>
    <w:rsid w:val="00F218AE"/>
    <w:rsid w:val="00F21B95"/>
    <w:rsid w:val="00F22232"/>
    <w:rsid w:val="00F2228E"/>
    <w:rsid w:val="00F22D3C"/>
    <w:rsid w:val="00F23D66"/>
    <w:rsid w:val="00F24242"/>
    <w:rsid w:val="00F24E6F"/>
    <w:rsid w:val="00F26069"/>
    <w:rsid w:val="00F26B7E"/>
    <w:rsid w:val="00F27D7D"/>
    <w:rsid w:val="00F3002B"/>
    <w:rsid w:val="00F30BC9"/>
    <w:rsid w:val="00F32462"/>
    <w:rsid w:val="00F32FF7"/>
    <w:rsid w:val="00F338E1"/>
    <w:rsid w:val="00F33EDE"/>
    <w:rsid w:val="00F3568B"/>
    <w:rsid w:val="00F377CD"/>
    <w:rsid w:val="00F404AF"/>
    <w:rsid w:val="00F40C3B"/>
    <w:rsid w:val="00F40CE0"/>
    <w:rsid w:val="00F42D41"/>
    <w:rsid w:val="00F42DBC"/>
    <w:rsid w:val="00F4308D"/>
    <w:rsid w:val="00F43E5E"/>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579D"/>
    <w:rsid w:val="00F558A9"/>
    <w:rsid w:val="00F574D0"/>
    <w:rsid w:val="00F6031F"/>
    <w:rsid w:val="00F60B7C"/>
    <w:rsid w:val="00F6164A"/>
    <w:rsid w:val="00F61664"/>
    <w:rsid w:val="00F61B99"/>
    <w:rsid w:val="00F61D7E"/>
    <w:rsid w:val="00F6275B"/>
    <w:rsid w:val="00F64C45"/>
    <w:rsid w:val="00F6502B"/>
    <w:rsid w:val="00F6612A"/>
    <w:rsid w:val="00F66724"/>
    <w:rsid w:val="00F67F04"/>
    <w:rsid w:val="00F70207"/>
    <w:rsid w:val="00F702CB"/>
    <w:rsid w:val="00F7065B"/>
    <w:rsid w:val="00F716D4"/>
    <w:rsid w:val="00F71A74"/>
    <w:rsid w:val="00F71AC2"/>
    <w:rsid w:val="00F739D4"/>
    <w:rsid w:val="00F75F89"/>
    <w:rsid w:val="00F77CF2"/>
    <w:rsid w:val="00F77D43"/>
    <w:rsid w:val="00F80953"/>
    <w:rsid w:val="00F80B5C"/>
    <w:rsid w:val="00F81312"/>
    <w:rsid w:val="00F81B90"/>
    <w:rsid w:val="00F81E6F"/>
    <w:rsid w:val="00F82FF3"/>
    <w:rsid w:val="00F83468"/>
    <w:rsid w:val="00F83B54"/>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238"/>
    <w:rsid w:val="00F94307"/>
    <w:rsid w:val="00F9580B"/>
    <w:rsid w:val="00F95F15"/>
    <w:rsid w:val="00F9627D"/>
    <w:rsid w:val="00F975CA"/>
    <w:rsid w:val="00FA0B60"/>
    <w:rsid w:val="00FA0D5F"/>
    <w:rsid w:val="00FA2528"/>
    <w:rsid w:val="00FA4100"/>
    <w:rsid w:val="00FA50A8"/>
    <w:rsid w:val="00FA5524"/>
    <w:rsid w:val="00FA5535"/>
    <w:rsid w:val="00FA7206"/>
    <w:rsid w:val="00FA7EFB"/>
    <w:rsid w:val="00FB0816"/>
    <w:rsid w:val="00FB08C2"/>
    <w:rsid w:val="00FB3DD1"/>
    <w:rsid w:val="00FB51FD"/>
    <w:rsid w:val="00FB5624"/>
    <w:rsid w:val="00FB5667"/>
    <w:rsid w:val="00FB735A"/>
    <w:rsid w:val="00FB7A97"/>
    <w:rsid w:val="00FC1601"/>
    <w:rsid w:val="00FC1B9B"/>
    <w:rsid w:val="00FC318D"/>
    <w:rsid w:val="00FC36CF"/>
    <w:rsid w:val="00FC3C7D"/>
    <w:rsid w:val="00FC40BC"/>
    <w:rsid w:val="00FC41FC"/>
    <w:rsid w:val="00FC491A"/>
    <w:rsid w:val="00FC4F6E"/>
    <w:rsid w:val="00FC506C"/>
    <w:rsid w:val="00FC578C"/>
    <w:rsid w:val="00FC5A37"/>
    <w:rsid w:val="00FC5AA4"/>
    <w:rsid w:val="00FC7836"/>
    <w:rsid w:val="00FD13EA"/>
    <w:rsid w:val="00FD2E4C"/>
    <w:rsid w:val="00FD5EC4"/>
    <w:rsid w:val="00FD7858"/>
    <w:rsid w:val="00FD7A8D"/>
    <w:rsid w:val="00FE0A76"/>
    <w:rsid w:val="00FE11A0"/>
    <w:rsid w:val="00FE1330"/>
    <w:rsid w:val="00FE1CE5"/>
    <w:rsid w:val="00FE2832"/>
    <w:rsid w:val="00FE2D38"/>
    <w:rsid w:val="00FE3929"/>
    <w:rsid w:val="00FE3E32"/>
    <w:rsid w:val="00FE7BF8"/>
    <w:rsid w:val="00FF097B"/>
    <w:rsid w:val="00FF0B6E"/>
    <w:rsid w:val="00FF1C1B"/>
    <w:rsid w:val="00FF2067"/>
    <w:rsid w:val="00FF3BC4"/>
    <w:rsid w:val="00FF4B66"/>
    <w:rsid w:val="00FF5939"/>
    <w:rsid w:val="00FF619F"/>
    <w:rsid w:val="00FF62DB"/>
    <w:rsid w:val="00FF688E"/>
    <w:rsid w:val="0125639A"/>
    <w:rsid w:val="0145EEE7"/>
    <w:rsid w:val="0357918E"/>
    <w:rsid w:val="040A3D3A"/>
    <w:rsid w:val="0537D740"/>
    <w:rsid w:val="054D5E01"/>
    <w:rsid w:val="0555D08A"/>
    <w:rsid w:val="058D7946"/>
    <w:rsid w:val="0596304D"/>
    <w:rsid w:val="064387BC"/>
    <w:rsid w:val="0696F277"/>
    <w:rsid w:val="06CA6EB3"/>
    <w:rsid w:val="090C30E6"/>
    <w:rsid w:val="0917347B"/>
    <w:rsid w:val="0A17490B"/>
    <w:rsid w:val="0A8430D1"/>
    <w:rsid w:val="0A86BEA1"/>
    <w:rsid w:val="0B1FB2F9"/>
    <w:rsid w:val="0BB9D33F"/>
    <w:rsid w:val="0C167B9F"/>
    <w:rsid w:val="0C239206"/>
    <w:rsid w:val="0CB9055A"/>
    <w:rsid w:val="0D9A76C3"/>
    <w:rsid w:val="0DE92BD8"/>
    <w:rsid w:val="0E1A9AF3"/>
    <w:rsid w:val="0E26DD89"/>
    <w:rsid w:val="0E64DA3C"/>
    <w:rsid w:val="0E967A23"/>
    <w:rsid w:val="0EC1AEB4"/>
    <w:rsid w:val="0F194B6A"/>
    <w:rsid w:val="1115F88E"/>
    <w:rsid w:val="111CBDCC"/>
    <w:rsid w:val="12E6916A"/>
    <w:rsid w:val="1302DBBD"/>
    <w:rsid w:val="1309718B"/>
    <w:rsid w:val="15705B04"/>
    <w:rsid w:val="17285F96"/>
    <w:rsid w:val="17E7AB8B"/>
    <w:rsid w:val="17FAA6A9"/>
    <w:rsid w:val="1818EC62"/>
    <w:rsid w:val="19B5038E"/>
    <w:rsid w:val="19DC15FA"/>
    <w:rsid w:val="1A63C2B4"/>
    <w:rsid w:val="1ADE80AA"/>
    <w:rsid w:val="1AF0FABD"/>
    <w:rsid w:val="1BB6A50A"/>
    <w:rsid w:val="1C340F78"/>
    <w:rsid w:val="1CEE7087"/>
    <w:rsid w:val="1E2363F0"/>
    <w:rsid w:val="1EA2BD4E"/>
    <w:rsid w:val="1F008620"/>
    <w:rsid w:val="1F719C6E"/>
    <w:rsid w:val="20D369F8"/>
    <w:rsid w:val="22E75AD1"/>
    <w:rsid w:val="2363C24A"/>
    <w:rsid w:val="23756E34"/>
    <w:rsid w:val="257B8D71"/>
    <w:rsid w:val="25C728B3"/>
    <w:rsid w:val="26F72AAE"/>
    <w:rsid w:val="274FB287"/>
    <w:rsid w:val="27D9308A"/>
    <w:rsid w:val="287D6C04"/>
    <w:rsid w:val="2912D1B6"/>
    <w:rsid w:val="296079D6"/>
    <w:rsid w:val="29B1796E"/>
    <w:rsid w:val="2B086F3F"/>
    <w:rsid w:val="2B7B6956"/>
    <w:rsid w:val="2B85CA9B"/>
    <w:rsid w:val="2CE7DE9E"/>
    <w:rsid w:val="2D59315D"/>
    <w:rsid w:val="2D994059"/>
    <w:rsid w:val="2E5004F4"/>
    <w:rsid w:val="2E62D597"/>
    <w:rsid w:val="2E6F8C8B"/>
    <w:rsid w:val="2E89A6D6"/>
    <w:rsid w:val="2EBBD7C1"/>
    <w:rsid w:val="2F56E149"/>
    <w:rsid w:val="2FB956D8"/>
    <w:rsid w:val="300B7D4C"/>
    <w:rsid w:val="306BBD9F"/>
    <w:rsid w:val="30ADEDC6"/>
    <w:rsid w:val="31000A0B"/>
    <w:rsid w:val="3138A3E0"/>
    <w:rsid w:val="31A12F1F"/>
    <w:rsid w:val="32735D45"/>
    <w:rsid w:val="32FDF5A0"/>
    <w:rsid w:val="332D367C"/>
    <w:rsid w:val="335D3F82"/>
    <w:rsid w:val="336D0328"/>
    <w:rsid w:val="3430A730"/>
    <w:rsid w:val="3436F5F1"/>
    <w:rsid w:val="345CA293"/>
    <w:rsid w:val="346836DD"/>
    <w:rsid w:val="3520A351"/>
    <w:rsid w:val="35445AD1"/>
    <w:rsid w:val="355D9BBF"/>
    <w:rsid w:val="35D6D7DC"/>
    <w:rsid w:val="376B70C6"/>
    <w:rsid w:val="37E9C27E"/>
    <w:rsid w:val="387F1166"/>
    <w:rsid w:val="38AD2BAA"/>
    <w:rsid w:val="38BA5790"/>
    <w:rsid w:val="38BC56D3"/>
    <w:rsid w:val="3907B310"/>
    <w:rsid w:val="3A0FBA9C"/>
    <w:rsid w:val="3AFEB897"/>
    <w:rsid w:val="3B18C24D"/>
    <w:rsid w:val="3BC1AFC8"/>
    <w:rsid w:val="3C174BFB"/>
    <w:rsid w:val="3C7179E7"/>
    <w:rsid w:val="3D364B15"/>
    <w:rsid w:val="3DD4AFF1"/>
    <w:rsid w:val="3E2FCDB5"/>
    <w:rsid w:val="3E5791D3"/>
    <w:rsid w:val="3FB2A314"/>
    <w:rsid w:val="40BE2E4A"/>
    <w:rsid w:val="40ED0D44"/>
    <w:rsid w:val="413C87BD"/>
    <w:rsid w:val="418F5609"/>
    <w:rsid w:val="4244405E"/>
    <w:rsid w:val="428BDE27"/>
    <w:rsid w:val="42CAA42E"/>
    <w:rsid w:val="432A2A88"/>
    <w:rsid w:val="436B16BD"/>
    <w:rsid w:val="437A04E4"/>
    <w:rsid w:val="440127D8"/>
    <w:rsid w:val="4474EE45"/>
    <w:rsid w:val="478EA249"/>
    <w:rsid w:val="47C7A1A1"/>
    <w:rsid w:val="47F585F9"/>
    <w:rsid w:val="49247818"/>
    <w:rsid w:val="4986D7DA"/>
    <w:rsid w:val="4A140E74"/>
    <w:rsid w:val="4AFAB928"/>
    <w:rsid w:val="4BC4E88B"/>
    <w:rsid w:val="4C1E469E"/>
    <w:rsid w:val="4CD2F844"/>
    <w:rsid w:val="4CD3E6E7"/>
    <w:rsid w:val="4D786F16"/>
    <w:rsid w:val="4DE4E273"/>
    <w:rsid w:val="4EC3C512"/>
    <w:rsid w:val="50409659"/>
    <w:rsid w:val="5072D40E"/>
    <w:rsid w:val="50EFE2C8"/>
    <w:rsid w:val="512459C6"/>
    <w:rsid w:val="52C0E2EB"/>
    <w:rsid w:val="5357F1E7"/>
    <w:rsid w:val="536D5684"/>
    <w:rsid w:val="5470AB00"/>
    <w:rsid w:val="551422C3"/>
    <w:rsid w:val="555ABF68"/>
    <w:rsid w:val="56AECBAF"/>
    <w:rsid w:val="56EEC1FA"/>
    <w:rsid w:val="575264D3"/>
    <w:rsid w:val="57AA5C65"/>
    <w:rsid w:val="5800717E"/>
    <w:rsid w:val="58566734"/>
    <w:rsid w:val="59009D4A"/>
    <w:rsid w:val="59337FB8"/>
    <w:rsid w:val="59A03E7C"/>
    <w:rsid w:val="5A74FB79"/>
    <w:rsid w:val="5C66030E"/>
    <w:rsid w:val="5CE67679"/>
    <w:rsid w:val="5DD60A3E"/>
    <w:rsid w:val="5E736832"/>
    <w:rsid w:val="5E925869"/>
    <w:rsid w:val="5F4F79BC"/>
    <w:rsid w:val="60FF19D6"/>
    <w:rsid w:val="613FDF8F"/>
    <w:rsid w:val="6245E717"/>
    <w:rsid w:val="63CCC491"/>
    <w:rsid w:val="6421D429"/>
    <w:rsid w:val="64F0E2D9"/>
    <w:rsid w:val="6545CC07"/>
    <w:rsid w:val="65611B20"/>
    <w:rsid w:val="6587A5B3"/>
    <w:rsid w:val="65BA0148"/>
    <w:rsid w:val="65E336B5"/>
    <w:rsid w:val="661DB7C5"/>
    <w:rsid w:val="66BBD56B"/>
    <w:rsid w:val="674FCBA3"/>
    <w:rsid w:val="67DE8C19"/>
    <w:rsid w:val="6829D795"/>
    <w:rsid w:val="68BCFEE6"/>
    <w:rsid w:val="68EE8881"/>
    <w:rsid w:val="69176F36"/>
    <w:rsid w:val="691FF7CE"/>
    <w:rsid w:val="6960FBB4"/>
    <w:rsid w:val="69887CD2"/>
    <w:rsid w:val="6A538CB2"/>
    <w:rsid w:val="6A6A331A"/>
    <w:rsid w:val="6A78599F"/>
    <w:rsid w:val="6BDC861D"/>
    <w:rsid w:val="6BF4524D"/>
    <w:rsid w:val="6C573ABE"/>
    <w:rsid w:val="6C6B15E6"/>
    <w:rsid w:val="6C8BEAAF"/>
    <w:rsid w:val="6D2DBD51"/>
    <w:rsid w:val="6DA94800"/>
    <w:rsid w:val="6DD8D152"/>
    <w:rsid w:val="7003B65C"/>
    <w:rsid w:val="70215521"/>
    <w:rsid w:val="72646630"/>
    <w:rsid w:val="727BD2C0"/>
    <w:rsid w:val="73823B0F"/>
    <w:rsid w:val="74121BE4"/>
    <w:rsid w:val="74CC4435"/>
    <w:rsid w:val="7550F22A"/>
    <w:rsid w:val="7598E17C"/>
    <w:rsid w:val="760D9B77"/>
    <w:rsid w:val="76487477"/>
    <w:rsid w:val="76D5FEBB"/>
    <w:rsid w:val="77284CD7"/>
    <w:rsid w:val="77A8A566"/>
    <w:rsid w:val="7916E111"/>
    <w:rsid w:val="792303DF"/>
    <w:rsid w:val="794354EA"/>
    <w:rsid w:val="79B80E70"/>
    <w:rsid w:val="7A370040"/>
    <w:rsid w:val="7AC83453"/>
    <w:rsid w:val="7B291717"/>
    <w:rsid w:val="7B30FFF2"/>
    <w:rsid w:val="7B9B9DA1"/>
    <w:rsid w:val="7C45FE8E"/>
    <w:rsid w:val="7C4B1275"/>
    <w:rsid w:val="7DBB0FC7"/>
    <w:rsid w:val="7DF7B994"/>
    <w:rsid w:val="7E5A43E6"/>
    <w:rsid w:val="7E813A57"/>
    <w:rsid w:val="7E9CA5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E18BCC4D-772A-4EFE-BC6B-0F99DE007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99" w:unhideWhenUsed="1" w:qFormat="1"/>
    <w:lsdException w:name="annotation text" w:locked="0" w:semiHidden="1" w:uiPriority="99"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iPriority="99"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uiPriority w:val="99"/>
    <w:locked/>
    <w:rsid w:val="004B1E61"/>
    <w:rPr>
      <w:sz w:val="16"/>
      <w:szCs w:val="16"/>
    </w:rPr>
  </w:style>
  <w:style w:type="paragraph" w:styleId="CommentText">
    <w:name w:val="annotation text"/>
    <w:basedOn w:val="Normal"/>
    <w:link w:val="CommentTextChar"/>
    <w:uiPriority w:val="99"/>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DefaultParagraphFont"/>
    <w:rsid w:val="004E60D2"/>
  </w:style>
  <w:style w:type="character" w:styleId="Mention">
    <w:name w:val="Mention"/>
    <w:basedOn w:val="DefaultParagraphFont"/>
    <w:uiPriority w:val="99"/>
    <w:unhideWhenUsed/>
    <w:rsid w:val="00F151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83385259">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315689366">
      <w:bodyDiv w:val="1"/>
      <w:marLeft w:val="0"/>
      <w:marRight w:val="0"/>
      <w:marTop w:val="0"/>
      <w:marBottom w:val="0"/>
      <w:divBdr>
        <w:top w:val="none" w:sz="0" w:space="0" w:color="auto"/>
        <w:left w:val="none" w:sz="0" w:space="0" w:color="auto"/>
        <w:bottom w:val="none" w:sz="0" w:space="0" w:color="auto"/>
        <w:right w:val="none" w:sz="0" w:space="0" w:color="auto"/>
      </w:divBdr>
    </w:div>
    <w:div w:id="388456510">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39759348">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esma.europa.eu/about-esma/data-protectio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jp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s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iosco.org/v2/about/?subSection=cpmi_iosco&amp;subSection1=monitoring" TargetMode="External"/><Relationship Id="rId2" Type="http://schemas.openxmlformats.org/officeDocument/2006/relationships/hyperlink" Target="https://www.bis.org/bcbs/publ/d590.pdf" TargetMode="External"/><Relationship Id="rId1" Type="http://schemas.openxmlformats.org/officeDocument/2006/relationships/hyperlink" Target="https://www.bankofengland.co.uk/financial-stability/boe-system-wide-exploratory-scenario-exercise" TargetMode="External"/><Relationship Id="rId4" Type="http://schemas.openxmlformats.org/officeDocument/2006/relationships/hyperlink" Target="https://eur-lex.europa.eu/legal-content/EN/TXT/PDF/?uri=CELEX:32012R064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469</Value>
      <Value>61</Value>
      <Value>10</Value>
      <Value>17</Value>
      <Value>549</Value>
    </TaxCatchAll>
    <_dlc_DocId xmlns="d0fb0f98-34f9-4d57-9559-eb8efd17aa5e">ESMA91-1505572268-4396</_dlc_DocId>
    <_dlc_DocIdUrl xmlns="d0fb0f98-34f9-4d57-9559-eb8efd17aa5e">
      <Url>https://securitiesandmarketsauth.sharepoint.com/sites/sherpa-ccp/_layouts/15/DocIdRedir.aspx?ID=ESMA91-1505572268-4396</Url>
      <Description>ESMA91-1505572268-4396</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Margin transparency</TermName>
          <TermId xmlns="http://schemas.microsoft.com/office/infopath/2007/PartnerControls">f38e4889-0222-46d9-8bba-d000b4576a6f</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6.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d0fb0f98-34f9-4d57-9559-eb8efd17aa5e"/>
    <ds:schemaRef ds:uri="d667209d-b9a4-40b6-9e60-58adc13a6cfb"/>
  </ds:schemaRefs>
</ds:datastoreItem>
</file>

<file path=customXml/itemProps6.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7fc4263-1457-426b-8f86-27e8fe5c208c}" enabled="0" method="" siteId="{97fc4263-1457-426b-8f86-27e8fe5c208c}"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3355</Words>
  <Characters>18914</Characters>
  <Application>Microsoft Office Word</Application>
  <DocSecurity>0</DocSecurity>
  <Lines>157</Lines>
  <Paragraphs>44</Paragraphs>
  <ScaleCrop>false</ScaleCrop>
  <Company>ESMA</Company>
  <LinksUpToDate>false</LinksUpToDate>
  <CharactersWithSpaces>22225</CharactersWithSpaces>
  <SharedDoc>false</SharedDoc>
  <HLinks>
    <vt:vector size="4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ariant>
        <vt:i4>851980</vt:i4>
      </vt:variant>
      <vt:variant>
        <vt:i4>9</vt:i4>
      </vt:variant>
      <vt:variant>
        <vt:i4>0</vt:i4>
      </vt:variant>
      <vt:variant>
        <vt:i4>5</vt:i4>
      </vt:variant>
      <vt:variant>
        <vt:lpwstr>https://eur-lex.europa.eu/legal-content/EN/TXT/PDF/?uri=CELEX:32012R0648</vt:lpwstr>
      </vt:variant>
      <vt:variant>
        <vt:lpwstr/>
      </vt:variant>
      <vt:variant>
        <vt:i4>6357079</vt:i4>
      </vt:variant>
      <vt:variant>
        <vt:i4>6</vt:i4>
      </vt:variant>
      <vt:variant>
        <vt:i4>0</vt:i4>
      </vt:variant>
      <vt:variant>
        <vt:i4>5</vt:i4>
      </vt:variant>
      <vt:variant>
        <vt:lpwstr>https://www.iosco.org/v2/about/?subSection=cpmi_iosco&amp;subSection1=monitoring</vt:lpwstr>
      </vt:variant>
      <vt:variant>
        <vt:lpwstr/>
      </vt:variant>
      <vt:variant>
        <vt:i4>7078008</vt:i4>
      </vt:variant>
      <vt:variant>
        <vt:i4>3</vt:i4>
      </vt:variant>
      <vt:variant>
        <vt:i4>0</vt:i4>
      </vt:variant>
      <vt:variant>
        <vt:i4>5</vt:i4>
      </vt:variant>
      <vt:variant>
        <vt:lpwstr>https://www.bis.org/bcbs/publ/d590.pdf</vt:lpwstr>
      </vt:variant>
      <vt:variant>
        <vt:lpwstr/>
      </vt:variant>
      <vt:variant>
        <vt:i4>262164</vt:i4>
      </vt:variant>
      <vt:variant>
        <vt:i4>0</vt:i4>
      </vt:variant>
      <vt:variant>
        <vt:i4>0</vt:i4>
      </vt:variant>
      <vt:variant>
        <vt:i4>5</vt:i4>
      </vt:variant>
      <vt:variant>
        <vt:lpwstr>https://www.bankofengland.co.uk/financial-stability/boe-system-wide-exploratory-scenario-exercise</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dc:description/>
  <cp:lastModifiedBy>Vivian Lee</cp:lastModifiedBy>
  <cp:revision>2</cp:revision>
  <cp:lastPrinted>2015-02-19T13:01:00Z</cp:lastPrinted>
  <dcterms:created xsi:type="dcterms:W3CDTF">2025-09-08T14:30:00Z</dcterms:created>
  <dcterms:modified xsi:type="dcterms:W3CDTF">2025-09-08T14:30:00Z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663ea131-0b42-4df6-a9e1-7eb7976fa1c7</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549;#Margin transparency|f38e4889-0222-46d9-8bba-d000b4576a6f</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aa419aa8-3562-4d19-9136-b2a8aa86ed0a</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2025-06-19T09:59:25Z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ies>
</file>